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ROPER</w:t>
      </w:r>
      <w:r>
        <w:t xml:space="preserve"> </w:t>
      </w:r>
      <w:r>
        <w:t xml:space="preserve">TECHNOLOGIES,</w:t>
      </w:r>
      <w:r>
        <w:t xml:space="preserve"> </w:t>
      </w:r>
      <w:r>
        <w:t xml:space="preserve">INC.</w:t>
      </w:r>
      <w:r>
        <w:t xml:space="preserve"> </w:t>
      </w:r>
      <w:r>
        <w:t xml:space="preserve">(ROP,</w:t>
      </w:r>
      <w:r>
        <w:t xml:space="preserve"> </w:t>
      </w:r>
      <w:r>
        <w:t xml:space="preserve">NASDAQ)</w:t>
      </w:r>
      <w:r>
        <w:t xml:space="preserve"> </w:t>
      </w:r>
      <w:r>
        <w:t xml:space="preserve">—</w:t>
      </w:r>
      <w:r>
        <w:t xml:space="preserve"> </w:t>
      </w:r>
      <w:r>
        <w:t xml:space="preserve">Sell-Side</w:t>
      </w:r>
      <w:r>
        <w:t xml:space="preserve"> </w:t>
      </w:r>
      <w:r>
        <w:t xml:space="preserve">Initiation</w:t>
      </w:r>
      <w:r>
        <w:t xml:space="preserve"> </w:t>
      </w:r>
      <w:r>
        <w:t xml:space="preserve">Report</w:t>
      </w:r>
    </w:p>
    <w:p>
      <w:pPr>
        <w:pStyle w:val="Subtitle"/>
      </w:pPr>
      <w:r>
        <w:t xml:space="preserve">Initiation</w:t>
      </w:r>
      <w:r>
        <w:t xml:space="preserve"> </w:t>
      </w:r>
      <w:r>
        <w:t xml:space="preserve">of</w:t>
      </w:r>
      <w:r>
        <w:t xml:space="preserve"> </w:t>
      </w:r>
      <w:r>
        <w:t xml:space="preserve">Coverage</w:t>
      </w:r>
      <w:r>
        <w:t xml:space="preserve"> </w:t>
      </w:r>
      <w:r>
        <w:t xml:space="preserve">—</w:t>
      </w:r>
      <w:r>
        <w:t xml:space="preserve"> </w:t>
      </w:r>
      <w:r>
        <w:t xml:space="preserve">March</w:t>
      </w:r>
      <w:r>
        <w:t xml:space="preserve"> </w:t>
      </w:r>
      <w:r>
        <w:t xml:space="preserve">30,</w:t>
      </w:r>
      <w:r>
        <w:t xml:space="preserve"> </w:t>
      </w:r>
      <w:r>
        <w:t xml:space="preserve">2026</w:t>
      </w:r>
      <w:r>
        <w:t xml:space="preserve"> </w:t>
      </w:r>
      <w:r>
        <w:t xml:space="preserve">|</w:t>
      </w:r>
      <w:r>
        <w:t xml:space="preserve"> </w:t>
      </w:r>
      <w:r>
        <w:t xml:space="preserve">RATING:</w:t>
      </w:r>
      <w:r>
        <w:t xml:space="preserve"> </w:t>
      </w:r>
      <w:r>
        <w:t xml:space="preserve">BUY</w:t>
      </w:r>
      <w:r>
        <w:t xml:space="preserve"> </w:t>
      </w:r>
      <w:r>
        <w:t xml:space="preserve">|</w:t>
      </w:r>
      <w:r>
        <w:t xml:space="preserve"> </w:t>
      </w:r>
      <w:r>
        <w:t xml:space="preserve">Price</w:t>
      </w:r>
      <w:r>
        <w:t xml:space="preserve"> </w:t>
      </w:r>
      <w:r>
        <w:t xml:space="preserve">Target:</w:t>
      </w:r>
      <w:r>
        <w:t xml:space="preserve"> </w:t>
      </w:r>
      <w:r>
        <w:t xml:space="preserve">$430</w:t>
      </w:r>
      <w:r>
        <w:t xml:space="preserve"> </w:t>
      </w:r>
      <w:r>
        <w:t xml:space="preserve">|</w:t>
      </w:r>
      <w:r>
        <w:t xml:space="preserve"> </w:t>
      </w:r>
      <w:r>
        <w:t xml:space="preserve">Current</w:t>
      </w:r>
      <w:r>
        <w:t xml:space="preserve"> </w:t>
      </w:r>
      <w:r>
        <w:t xml:space="preserve">Price:</w:t>
      </w:r>
      <w:r>
        <w:t xml:space="preserve"> </w:t>
      </w:r>
      <w:r>
        <w:t xml:space="preserve">$347</w:t>
      </w:r>
      <w:r>
        <w:t xml:space="preserve"> </w:t>
      </w:r>
      <w:r>
        <w:t xml:space="preserve">|</w:t>
      </w:r>
      <w:r>
        <w:t xml:space="preserve"> </w:t>
      </w:r>
      <w:r>
        <w:t xml:space="preserve">Upside:</w:t>
      </w:r>
      <w:r>
        <w:t xml:space="preserve"> </w:t>
      </w:r>
      <w:r>
        <w:t xml:space="preserve">+24%</w:t>
      </w:r>
    </w:p>
    <w:p>
      <w:pPr>
        <w:pStyle w:val="Author"/>
      </w:pPr>
      <w:r>
        <w:t xml:space="preserve">Equity</w:t>
      </w:r>
      <w:r>
        <w:t xml:space="preserve"> </w:t>
      </w:r>
      <w:r>
        <w:t xml:space="preserve">Research</w:t>
      </w:r>
    </w:p>
    <w:p>
      <w:pPr>
        <w:pStyle w:val="Date"/>
      </w:pPr>
      <w:r>
        <w:t xml:space="preserve">March</w:t>
      </w:r>
      <w:r>
        <w:t xml:space="preserve"> </w:t>
      </w:r>
      <w:r>
        <w:t xml:space="preserve">30,</w:t>
      </w:r>
      <w:r>
        <w:t xml:space="preserve"> </w:t>
      </w:r>
      <w:r>
        <w:t xml:space="preserve">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"1-2" \h \z \u</w:instrText>
            <w:fldChar w:fldCharType="separate"/>
            <w:fldChar w:fldCharType="end"/>
          </w:r>
        </w:p>
      </w:sdtContent>
    </w:sdt>
    <w:p>
      <w:pPr>
        <w:pStyle w:val="Heading1"/>
      </w:pPr>
      <w:bookmarkStart w:id="20" w:name="executive-summary"/>
      <w:r>
        <w:t xml:space="preserve">Executive Summary</w:t>
      </w:r>
      <w:bookmarkEnd w:id="20"/>
    </w:p>
    <w:p>
      <w:pPr>
        <w:pStyle w:val="FirstParagraph"/>
      </w:pPr>
      <w:r>
        <w:t xml:space="preserve">We initiate coverage of Roper Technologies (NASDAQ: ROP) with a BUY rating and a 12-month price target of $430, implying 24% upside from the current price of $347. Roper has completed a multi-year transformation from a diversified industrial conglomerate into a pure-play vertical software compounder, with 67% of revenue now recurring or reoccurring and EBITDA margins approaching 40%. The company’s decentralized operating model, mission-critical workflow embededness across niche verticals (legal, healthcare, government, education, insurance), and disciplined M&amp;A engine ($8.96B deployed over 3 years at 6.9x blended multiples) position it for sustainable mid-to-high single-digit organic growth with material multiple expansion potential.</w:t>
      </w:r>
    </w:p>
    <w:p>
      <w:pPr>
        <w:pStyle w:val="BodyText"/>
      </w:pPr>
      <w:r>
        <w:t xml:space="preserve">Our base-case DCF at WACC 8.5% and 3.0% terminal growth yields $404/share. Comparable company analysis (Tyler Technologies, Verisk, Constellation Software, Fortive) supports a 17x blended EV/EBITDA, implying ~$403/share. Reverse DCF analysis reveals the market is pricing in near-zero growth above current FCF run rate — a disconnect we believe will correct as organic growth accelerates toward management’s stated</w:t>
      </w:r>
      <w:r>
        <w:t xml:space="preserve"> </w:t>
      </w:r>
      <w:r>
        <w:t xml:space="preserve">“</w:t>
      </w:r>
      <w:r>
        <w:t xml:space="preserve">north of 8%</w:t>
      </w:r>
      <w:r>
        <w:t xml:space="preserve">”</w:t>
      </w:r>
      <w:r>
        <w:t xml:space="preserve"> </w:t>
      </w:r>
      <w:r>
        <w:t xml:space="preserve">aspiration. Probability-weighted across bull ($465), base ($390), and bear ($330) scenarios, our fair value estimate is $394/share, well above the current price.</w:t>
      </w:r>
    </w:p>
    <w:p>
      <w:r>
        <w:pict>
          <v:rect style="width:0;height:1.5pt" o:hralign="center" o:hrstd="t" o:hr="t"/>
        </w:pict>
      </w:r>
    </w:p>
    <w:p>
      <w:pPr>
        <w:pStyle w:val="Heading1"/>
      </w:pPr>
      <w:bookmarkStart w:id="21" w:name="roper-technologies-inc.-rop-nasdaq"/>
      <w:r>
        <w:t xml:space="preserve">ROPER TECHNOLOGIES, INC. (ROP, NASDAQ)</w:t>
      </w:r>
      <w:bookmarkEnd w:id="21"/>
    </w:p>
    <w:p>
      <w:pPr>
        <w:pStyle w:val="Heading2"/>
      </w:pPr>
      <w:bookmarkStart w:id="22" w:name="sell-side-initiation-report-sections-05"/>
      <w:r>
        <w:t xml:space="preserve">Sell-Side Initiation Report: Sections 0–5</w:t>
      </w:r>
      <w:bookmarkEnd w:id="22"/>
    </w:p>
    <w:p>
      <w:r>
        <w:pict>
          <v:rect style="width:0;height:1.5pt" o:hralign="center" o:hrstd="t" o:hr="t"/>
        </w:pict>
      </w:r>
    </w:p>
    <w:p>
      <w:pPr>
        <w:pStyle w:val="Heading2"/>
      </w:pPr>
      <w:bookmarkStart w:id="23" w:name="X07f95c62c828b2b0226b0d150416d16ea34a70c"/>
      <w:r>
        <w:t xml:space="preserve">SECTION 0: COMPANY PROFILE AND KPI FRAMEWORK</w:t>
      </w:r>
      <w:bookmarkEnd w:id="23"/>
    </w:p>
    <w:p>
      <w:pPr>
        <w:pStyle w:val="Heading3"/>
      </w:pPr>
      <w:bookmarkStart w:id="24" w:name="a.-corporate-identity"/>
      <w:r>
        <w:t xml:space="preserve">0A. Corporate Identity</w:t>
      </w:r>
      <w:bookmarkEnd w:id="24"/>
    </w:p>
    <w:p>
      <w:pPr>
        <w:pStyle w:val="FirstParagraph"/>
      </w:pPr>
      <w:r>
        <w:rPr>
          <w:b/>
        </w:rPr>
        <w:t xml:space="preserve">Legal Name:</w:t>
      </w:r>
      <w:r>
        <w:t xml:space="preserve"> </w:t>
      </w:r>
      <w:r>
        <w:t xml:space="preserve">Roper Technologies, Inc.</w:t>
      </w:r>
      <w:r>
        <w:t xml:space="preserve"> </w:t>
      </w:r>
      <w:r>
        <w:rPr>
          <w:b/>
        </w:rPr>
        <w:t xml:space="preserve">Trading Symbol:</w:t>
      </w:r>
      <w:r>
        <w:t xml:space="preserve"> </w:t>
      </w:r>
      <w:r>
        <w:t xml:space="preserve">ROP (NASDAQ)</w:t>
      </w:r>
      <w:r>
        <w:t xml:space="preserve"> </w:t>
      </w:r>
      <w:r>
        <w:rPr>
          <w:b/>
        </w:rPr>
        <w:t xml:space="preserve">Incorporated:</w:t>
      </w:r>
      <w:r>
        <w:t xml:space="preserve"> </w:t>
      </w:r>
      <w:r>
        <w:t xml:space="preserve">Delaware</w:t>
      </w:r>
      <w:r>
        <w:t xml:space="preserve"> </w:t>
      </w:r>
      <w:r>
        <w:rPr>
          <w:b/>
        </w:rPr>
        <w:t xml:space="preserve">Headquarters:</w:t>
      </w:r>
      <w:r>
        <w:t xml:space="preserve"> </w:t>
      </w:r>
      <w:r>
        <w:t xml:space="preserve">Sarasota, Florida</w:t>
      </w:r>
      <w:r>
        <w:t xml:space="preserve"> </w:t>
      </w:r>
      <w:r>
        <w:rPr>
          <w:b/>
        </w:rPr>
        <w:t xml:space="preserve">Founding Date:</w:t>
      </w:r>
      <w:r>
        <w:t xml:space="preserve"> </w:t>
      </w:r>
      <w:r>
        <w:t xml:space="preserve">1981</w:t>
      </w:r>
      <w:r>
        <w:t xml:space="preserve"> </w:t>
      </w:r>
      <w:r>
        <w:rPr>
          <w:b/>
        </w:rPr>
        <w:t xml:space="preserve">IPO:</w:t>
      </w:r>
      <w:r>
        <w:t xml:space="preserve"> </w:t>
      </w:r>
      <w:r>
        <w:t xml:space="preserve">February 1992 (NYSE, later migrated to NASDAQ)</w:t>
      </w:r>
      <w:r>
        <w:t xml:space="preserve"> </w:t>
      </w:r>
      <w:r>
        <w:rPr>
          <w:b/>
        </w:rPr>
        <w:t xml:space="preserve">Auditor:</w:t>
      </w:r>
      <w:r>
        <w:t xml:space="preserve"> </w:t>
      </w:r>
      <w:r>
        <w:t xml:space="preserve">PricewaterhouseCooters LLP</w:t>
      </w:r>
    </w:p>
    <w:p>
      <w:pPr>
        <w:pStyle w:val="BodyText"/>
      </w:pPr>
      <w:r>
        <w:rPr>
          <w:b/>
        </w:rPr>
        <w:t xml:space="preserve">Fiscal Year End:</w:t>
      </w:r>
      <w:r>
        <w:t xml:space="preserve"> </w:t>
      </w:r>
      <w:r>
        <w:t xml:space="preserve">December 31</w:t>
      </w:r>
      <w:r>
        <w:t xml:space="preserve"> </w:t>
      </w:r>
      <w:r>
        <w:rPr>
          <w:b/>
        </w:rPr>
        <w:t xml:space="preserve">Reporting Currency:</w:t>
      </w:r>
      <w:r>
        <w:t xml:space="preserve"> </w:t>
      </w:r>
      <w:r>
        <w:t xml:space="preserve">USD</w:t>
      </w:r>
      <w:r>
        <w:t xml:space="preserve"> </w:t>
      </w:r>
      <w:r>
        <w:rPr>
          <w:b/>
        </w:rPr>
        <w:t xml:space="preserve">Employees:</w:t>
      </w:r>
      <w:r>
        <w:t xml:space="preserve"> </w:t>
      </w:r>
      <w:r>
        <w:t xml:space="preserve">~19,400 worldwide (~13,100 US, ~6,300 international) as of December 31, 2025 [FY2025 10-K]</w:t>
      </w:r>
    </w:p>
    <w:p>
      <w:pPr>
        <w:pStyle w:val="BodyText"/>
      </w:pPr>
      <w:r>
        <w:rPr>
          <w:b/>
        </w:rPr>
        <w:t xml:space="preserve">Key Regulatory/Structural Notes:</w:t>
      </w:r>
      <w:r>
        <w:t xml:space="preserve"> </w:t>
      </w:r>
      <w:r>
        <w:t xml:space="preserve">- Fully consolidated pure-play software and technology company following November 2022 Indicor divestiture.</w:t>
      </w:r>
      <w:r>
        <w:t xml:space="preserve"> </w:t>
      </w:r>
      <w:r>
        <w:t xml:space="preserve">- Minority stake in Indicor retained post-divestiture to CD&amp;R.</w:t>
      </w:r>
      <w:r>
        <w:t xml:space="preserve"> </w:t>
      </w:r>
      <w:r>
        <w:t xml:space="preserve">- No single customer represents &gt;10% of revenue in any segment or consolidated company [FY2025 10-K].</w:t>
      </w:r>
      <w:r>
        <w:t xml:space="preserve"> </w:t>
      </w:r>
      <w:r>
        <w:t xml:space="preserve">- Classified as Diversified Technology / Application Software (GICS).</w:t>
      </w:r>
      <w:r>
        <w:t xml:space="preserve"> </w:t>
      </w:r>
      <w:r>
        <w:t xml:space="preserve">- International revenue (non-USD functional currency entities): 9% of total [FY2025 10-K], reflecting US-centric business model.</w:t>
      </w:r>
    </w:p>
    <w:p>
      <w:r>
        <w:pict>
          <v:rect style="width:0;height:1.5pt" o:hralign="center" o:hrstd="t" o:hr="t"/>
        </w:pict>
      </w:r>
    </w:p>
    <w:p>
      <w:pPr>
        <w:pStyle w:val="Heading3"/>
      </w:pPr>
      <w:bookmarkStart w:id="25" w:name="b.-business-segment-structure-and-scale"/>
      <w:r>
        <w:t xml:space="preserve">0B. Business Segment Structure and Scale</w:t>
      </w:r>
      <w:bookmarkEnd w:id="25"/>
    </w:p>
    <w:p>
      <w:pPr>
        <w:pStyle w:val="FirstParagraph"/>
      </w:pPr>
      <w:r>
        <w:t xml:space="preserve">ROP operates three reportable segments, representing 100% of revenue:</w:t>
      </w:r>
    </w:p>
    <w:p>
      <w:pPr>
        <w:pStyle w:val="Heading4"/>
      </w:pPr>
      <w:bookmarkStart w:id="26" w:name="segment-1-application-software"/>
      <w:r>
        <w:rPr>
          <w:b/>
        </w:rPr>
        <w:t xml:space="preserve">Segment 1: Application Software</w:t>
      </w:r>
      <w:bookmarkEnd w:id="26"/>
    </w:p>
    <w:p>
      <w:pPr>
        <w:numPr>
          <w:ilvl w:val="0"/>
          <w:numId w:val="1001"/>
        </w:numPr>
        <w:pStyle w:val="Compact"/>
      </w:pPr>
      <w:r>
        <w:rPr>
          <w:b/>
        </w:rPr>
        <w:t xml:space="preserve">FY2025 Revenue:</w:t>
      </w:r>
      <w:r>
        <w:t xml:space="preserve"> </w:t>
      </w:r>
      <w:r>
        <w:t xml:space="preserve">$4,483M (56.7% of total) [Earnings slides]</w:t>
      </w:r>
    </w:p>
    <w:p>
      <w:pPr>
        <w:numPr>
          <w:ilvl w:val="0"/>
          <w:numId w:val="1001"/>
        </w:numPr>
        <w:pStyle w:val="Compact"/>
      </w:pPr>
      <w:r>
        <w:rPr>
          <w:b/>
        </w:rPr>
        <w:t xml:space="preserve">FY2025 Adj. EBITDA:</w:t>
      </w:r>
      <w:r>
        <w:t xml:space="preserve"> </w:t>
      </w:r>
      <w:r>
        <w:t xml:space="preserve">$1,905M;</w:t>
      </w:r>
      <w:r>
        <w:t xml:space="preserve"> </w:t>
      </w:r>
      <w:r>
        <w:rPr>
          <w:b/>
        </w:rPr>
        <w:t xml:space="preserve">Margin:</w:t>
      </w:r>
      <w:r>
        <w:t xml:space="preserve"> </w:t>
      </w:r>
      <w:r>
        <w:t xml:space="preserve">42.5%;</w:t>
      </w:r>
      <w:r>
        <w:t xml:space="preserve"> </w:t>
      </w:r>
      <w:r>
        <w:rPr>
          <w:b/>
        </w:rPr>
        <w:t xml:space="preserve">Core margin:</w:t>
      </w:r>
      <w:r>
        <w:t xml:space="preserve"> </w:t>
      </w:r>
      <w:r>
        <w:t xml:space="preserve">+80 bps YoY [Earnings slides]</w:t>
      </w:r>
    </w:p>
    <w:p>
      <w:pPr>
        <w:numPr>
          <w:ilvl w:val="0"/>
          <w:numId w:val="1001"/>
        </w:numPr>
        <w:pStyle w:val="Compact"/>
      </w:pPr>
      <w:r>
        <w:rPr>
          <w:b/>
        </w:rPr>
        <w:t xml:space="preserve">Organic Growth:</w:t>
      </w:r>
      <w:r>
        <w:t xml:space="preserve"> </w:t>
      </w:r>
      <w:r>
        <w:t xml:space="preserve">+5%;</w:t>
      </w:r>
      <w:r>
        <w:t xml:space="preserve"> </w:t>
      </w:r>
      <w:r>
        <w:rPr>
          <w:b/>
        </w:rPr>
        <w:t xml:space="preserve">M&amp;A Contribution:</w:t>
      </w:r>
      <w:r>
        <w:t xml:space="preserve"> </w:t>
      </w:r>
      <w:r>
        <w:t xml:space="preserve">+10% [Earnings slides]</w:t>
      </w:r>
    </w:p>
    <w:p>
      <w:pPr>
        <w:numPr>
          <w:ilvl w:val="0"/>
          <w:numId w:val="1001"/>
        </w:numPr>
        <w:pStyle w:val="Compact"/>
      </w:pPr>
      <w:r>
        <w:rPr>
          <w:b/>
        </w:rPr>
        <w:t xml:space="preserve">Recurring+Reoccurring Growth (organic):</w:t>
      </w:r>
      <w:r>
        <w:t xml:space="preserve"> </w:t>
      </w:r>
      <w:r>
        <w:t xml:space="preserve">+7% [Earnings slides]</w:t>
      </w:r>
    </w:p>
    <w:p>
      <w:pPr>
        <w:pStyle w:val="FirstParagraph"/>
      </w:pPr>
      <w:r>
        <w:rPr>
          <w:b/>
        </w:rPr>
        <w:t xml:space="preserve">Major Platforms:</w:t>
      </w:r>
      <w:r>
        <w:t xml:space="preserve"> </w:t>
      </w:r>
      <w:r>
        <w:t xml:space="preserve">- Aderant (legal practice mgmt)</w:t>
      </w:r>
      <w:r>
        <w:t xml:space="preserve"> </w:t>
      </w:r>
      <w:r>
        <w:t xml:space="preserve">- CentralReach (ABA therapy SaaS, acquired Apr 2025 ~$1.85B)</w:t>
      </w:r>
      <w:r>
        <w:t xml:space="preserve"> </w:t>
      </w:r>
      <w:r>
        <w:t xml:space="preserve">- Clinisys (lab info systems)</w:t>
      </w:r>
      <w:r>
        <w:t xml:space="preserve"> </w:t>
      </w:r>
      <w:r>
        <w:t xml:space="preserve">- Data Innovations (lab mgmt)</w:t>
      </w:r>
      <w:r>
        <w:t xml:space="preserve"> </w:t>
      </w:r>
      <w:r>
        <w:t xml:space="preserve">- Deltek (GovCon/defense ERP)</w:t>
      </w:r>
      <w:r>
        <w:t xml:space="preserve"> </w:t>
      </w:r>
      <w:r>
        <w:t xml:space="preserve">- Frontline (K-12 admin)</w:t>
      </w:r>
      <w:r>
        <w:t xml:space="preserve"> </w:t>
      </w:r>
      <w:r>
        <w:t xml:space="preserve">- IntelliTrans (transportation mgmt)</w:t>
      </w:r>
      <w:r>
        <w:t xml:space="preserve"> </w:t>
      </w:r>
      <w:r>
        <w:t xml:space="preserve">- PowerPlan (asset-intensive financial compliance)</w:t>
      </w:r>
      <w:r>
        <w:t xml:space="preserve"> </w:t>
      </w:r>
      <w:r>
        <w:t xml:space="preserve">- Procare (childcare SaaS, acquired Feb 2024 ~$1.86B)</w:t>
      </w:r>
      <w:r>
        <w:t xml:space="preserve"> </w:t>
      </w:r>
      <w:r>
        <w:t xml:space="preserve">- Strata (healthcare financial analytics, merged w/ Syntellis Aug 2023 ~$1.38B)</w:t>
      </w:r>
      <w:r>
        <w:t xml:space="preserve"> </w:t>
      </w:r>
      <w:r>
        <w:t xml:space="preserve">- Transact/CBORD/Illumia (campus tech/payments, acquired Aug 2024 ~$1.6B)</w:t>
      </w:r>
      <w:r>
        <w:t xml:space="preserve"> </w:t>
      </w:r>
      <w:r>
        <w:t xml:space="preserve">- Vertafore (insurance software)</w:t>
      </w:r>
    </w:p>
    <w:p>
      <w:pPr>
        <w:pStyle w:val="Heading4"/>
      </w:pPr>
      <w:bookmarkStart w:id="27" w:name="segment-2-network-software"/>
      <w:r>
        <w:rPr>
          <w:b/>
        </w:rPr>
        <w:t xml:space="preserve">Segment 2: Network Software</w:t>
      </w:r>
      <w:bookmarkEnd w:id="27"/>
    </w:p>
    <w:p>
      <w:pPr>
        <w:numPr>
          <w:ilvl w:val="0"/>
          <w:numId w:val="1002"/>
        </w:numPr>
        <w:pStyle w:val="Compact"/>
      </w:pPr>
      <w:r>
        <w:rPr>
          <w:b/>
        </w:rPr>
        <w:t xml:space="preserve">FY2025 Revenue:</w:t>
      </w:r>
      <w:r>
        <w:t xml:space="preserve"> </w:t>
      </w:r>
      <w:r>
        <w:t xml:space="preserve">$1,601M (20.3% of total) [Earnings slides]</w:t>
      </w:r>
    </w:p>
    <w:p>
      <w:pPr>
        <w:numPr>
          <w:ilvl w:val="0"/>
          <w:numId w:val="1002"/>
        </w:numPr>
        <w:pStyle w:val="Compact"/>
      </w:pPr>
      <w:r>
        <w:rPr>
          <w:b/>
        </w:rPr>
        <w:t xml:space="preserve">FY2025 Adj. EBITDA:</w:t>
      </w:r>
      <w:r>
        <w:t xml:space="preserve"> </w:t>
      </w:r>
      <w:r>
        <w:t xml:space="preserve">$865M;</w:t>
      </w:r>
      <w:r>
        <w:t xml:space="preserve"> </w:t>
      </w:r>
      <w:r>
        <w:rPr>
          <w:b/>
        </w:rPr>
        <w:t xml:space="preserve">Margin:</w:t>
      </w:r>
      <w:r>
        <w:t xml:space="preserve"> </w:t>
      </w:r>
      <w:r>
        <w:t xml:space="preserve">54.1% (highest of three segments) [Earnings slides]</w:t>
      </w:r>
    </w:p>
    <w:p>
      <w:pPr>
        <w:numPr>
          <w:ilvl w:val="0"/>
          <w:numId w:val="1002"/>
        </w:numPr>
        <w:pStyle w:val="Compact"/>
      </w:pPr>
      <w:r>
        <w:rPr>
          <w:b/>
        </w:rPr>
        <w:t xml:space="preserve">Organic Growth:</w:t>
      </w:r>
      <w:r>
        <w:t xml:space="preserve"> </w:t>
      </w:r>
      <w:r>
        <w:t xml:space="preserve">+4%;</w:t>
      </w:r>
      <w:r>
        <w:t xml:space="preserve"> </w:t>
      </w:r>
      <w:r>
        <w:rPr>
          <w:b/>
        </w:rPr>
        <w:t xml:space="preserve">M&amp;A Contribution:</w:t>
      </w:r>
      <w:r>
        <w:t xml:space="preserve"> </w:t>
      </w:r>
      <w:r>
        <w:t xml:space="preserve">+4% [Earnings slides]</w:t>
      </w:r>
    </w:p>
    <w:p>
      <w:pPr>
        <w:pStyle w:val="FirstParagraph"/>
      </w:pPr>
      <w:r>
        <w:rPr>
          <w:b/>
        </w:rPr>
        <w:t xml:space="preserve">Major Platforms:</w:t>
      </w:r>
      <w:r>
        <w:t xml:space="preserve"> </w:t>
      </w:r>
      <w:r>
        <w:t xml:space="preserve">- ConstructConnect (preconstruction data, network effects)</w:t>
      </w:r>
      <w:r>
        <w:t xml:space="preserve"> </w:t>
      </w:r>
      <w:r>
        <w:t xml:space="preserve">- DAT (freight marketplace, network effects)</w:t>
      </w:r>
      <w:r>
        <w:t xml:space="preserve"> </w:t>
      </w:r>
      <w:r>
        <w:t xml:space="preserve">- Foundry (VFX software)</w:t>
      </w:r>
      <w:r>
        <w:t xml:space="preserve"> </w:t>
      </w:r>
      <w:r>
        <w:t xml:space="preserve">- iPipeline (life insurance)</w:t>
      </w:r>
      <w:r>
        <w:t xml:space="preserve"> </w:t>
      </w:r>
      <w:r>
        <w:t xml:space="preserve">- iTradeNetwork (food supply chain)</w:t>
      </w:r>
      <w:r>
        <w:t xml:space="preserve"> </w:t>
      </w:r>
      <w:r>
        <w:t xml:space="preserve">- MHA (alt-site healthcare)</w:t>
      </w:r>
      <w:r>
        <w:t xml:space="preserve"> </w:t>
      </w:r>
      <w:r>
        <w:t xml:space="preserve">- SHP (post-acute analytics)</w:t>
      </w:r>
      <w:r>
        <w:t xml:space="preserve"> </w:t>
      </w:r>
      <w:r>
        <w:t xml:space="preserve">- SoftWriters (LTC pharmacy)</w:t>
      </w:r>
      <w:r>
        <w:t xml:space="preserve"> </w:t>
      </w:r>
      <w:r>
        <w:t xml:space="preserve">- Subsplash (faith-based SaaS, acquired Jul 2025 ~$800M)</w:t>
      </w:r>
    </w:p>
    <w:p>
      <w:pPr>
        <w:pStyle w:val="Heading4"/>
      </w:pPr>
      <w:bookmarkStart w:id="28" w:name="segment-3-technology-enabled-products"/>
      <w:r>
        <w:rPr>
          <w:b/>
        </w:rPr>
        <w:t xml:space="preserve">Segment 3: Technology Enabled Products</w:t>
      </w:r>
      <w:bookmarkEnd w:id="28"/>
    </w:p>
    <w:p>
      <w:pPr>
        <w:numPr>
          <w:ilvl w:val="0"/>
          <w:numId w:val="1003"/>
        </w:numPr>
        <w:pStyle w:val="Compact"/>
      </w:pPr>
      <w:r>
        <w:rPr>
          <w:b/>
        </w:rPr>
        <w:t xml:space="preserve">FY2025 Revenue:</w:t>
      </w:r>
      <w:r>
        <w:t xml:space="preserve"> </w:t>
      </w:r>
      <w:r>
        <w:t xml:space="preserve">$1,819M (23.0% of total) [Earnings slides]</w:t>
      </w:r>
    </w:p>
    <w:p>
      <w:pPr>
        <w:numPr>
          <w:ilvl w:val="0"/>
          <w:numId w:val="1003"/>
        </w:numPr>
        <w:pStyle w:val="Compact"/>
      </w:pPr>
      <w:r>
        <w:rPr>
          <w:b/>
        </w:rPr>
        <w:t xml:space="preserve">FY2025 Adj. EBITDA:</w:t>
      </w:r>
      <w:r>
        <w:t xml:space="preserve"> </w:t>
      </w:r>
      <w:r>
        <w:t xml:space="preserve">$650M;</w:t>
      </w:r>
      <w:r>
        <w:t xml:space="preserve"> </w:t>
      </w:r>
      <w:r>
        <w:rPr>
          <w:b/>
        </w:rPr>
        <w:t xml:space="preserve">Margin:</w:t>
      </w:r>
      <w:r>
        <w:t xml:space="preserve"> </w:t>
      </w:r>
      <w:r>
        <w:t xml:space="preserve">35.7% [Earnings slides]</w:t>
      </w:r>
    </w:p>
    <w:p>
      <w:pPr>
        <w:numPr>
          <w:ilvl w:val="0"/>
          <w:numId w:val="1003"/>
        </w:numPr>
        <w:pStyle w:val="Compact"/>
      </w:pPr>
      <w:r>
        <w:rPr>
          <w:b/>
        </w:rPr>
        <w:t xml:space="preserve">Organic Growth:</w:t>
      </w:r>
      <w:r>
        <w:t xml:space="preserve"> </w:t>
      </w:r>
      <w:r>
        <w:t xml:space="preserve">+6%;</w:t>
      </w:r>
      <w:r>
        <w:t xml:space="preserve"> </w:t>
      </w:r>
      <w:r>
        <w:rPr>
          <w:b/>
        </w:rPr>
        <w:t xml:space="preserve">No M&amp;A contribution</w:t>
      </w:r>
      <w:r>
        <w:t xml:space="preserve"> </w:t>
      </w:r>
      <w:r>
        <w:t xml:space="preserve">[Earnings slides]</w:t>
      </w:r>
    </w:p>
    <w:p>
      <w:pPr>
        <w:pStyle w:val="FirstParagraph"/>
      </w:pPr>
      <w:r>
        <w:rPr>
          <w:b/>
        </w:rPr>
        <w:t xml:space="preserve">Major Platforms:</w:t>
      </w:r>
      <w:r>
        <w:t xml:space="preserve"> </w:t>
      </w:r>
      <w:r>
        <w:t xml:space="preserve">- CIVCO (ultrasound accessories)</w:t>
      </w:r>
      <w:r>
        <w:t xml:space="preserve"> </w:t>
      </w:r>
      <w:r>
        <w:t xml:space="preserve">- FMI (precision pumps, metering)</w:t>
      </w:r>
      <w:r>
        <w:t xml:space="preserve"> </w:t>
      </w:r>
      <w:r>
        <w:t xml:space="preserve">- Inovonics (wireless sensors)</w:t>
      </w:r>
      <w:r>
        <w:t xml:space="preserve"> </w:t>
      </w:r>
      <w:r>
        <w:t xml:space="preserve">- IPA (surgical dispensing)</w:t>
      </w:r>
      <w:r>
        <w:t xml:space="preserve"> </w:t>
      </w:r>
      <w:r>
        <w:t xml:space="preserve">- Neptune (water meters, AMI networks)</w:t>
      </w:r>
      <w:r>
        <w:t xml:space="preserve"> </w:t>
      </w:r>
      <w:r>
        <w:t xml:space="preserve">- NDI/Northern Digital (electromagnetic tracking)</w:t>
      </w:r>
      <w:r>
        <w:t xml:space="preserve"> </w:t>
      </w:r>
      <w:r>
        <w:t xml:space="preserve">- rf IDEAS (credential readers)</w:t>
      </w:r>
      <w:r>
        <w:t xml:space="preserve"> </w:t>
      </w:r>
      <w:r>
        <w:t xml:space="preserve">- Verathon (video laryngoscopes, bronchoscopes)</w:t>
      </w:r>
    </w:p>
    <w:p>
      <w:r>
        <w:pict>
          <v:rect style="width:0;height:1.5pt" o:hralign="center" o:hrstd="t" o:hr="t"/>
        </w:pict>
      </w:r>
    </w:p>
    <w:p>
      <w:pPr>
        <w:pStyle w:val="Heading3"/>
      </w:pPr>
      <w:bookmarkStart w:id="29" w:name="X6b853d48b3bdfcabe9dd2066639622a7459af6f"/>
      <w:r>
        <w:t xml:space="preserve">0C. Financial Scale and Profitability (FY2025)</w:t>
      </w:r>
      <w:bookmarkEnd w:id="29"/>
    </w:p>
    <w:tbl>
      <w:tblPr>
        <w:tblStyle w:val="Table"/>
        <w:tblW w:type="pct" w:w="0.0"/>
        <w:tblLook w:firstRow="1"/>
      </w:tblPr>
      <w:tblGrid/>
      <w:tr>
        <w:trPr>
          <w:cnfStyle w:firstRow="1"/>
        </w:trPr>
        <w:tc>
          <w:tcPr>
            <w:tcBorders>
              <w:bottom w:val="single"/>
            </w:tcBorders>
            <w:vAlign w:val="bottom"/>
          </w:tcPr>
          <w:p>
            <w:pPr>
              <w:pStyle w:val="Compact"/>
              <w:jc w:val="left"/>
            </w:pPr>
            <w:r>
              <w:t xml:space="preserve">Metric</w:t>
            </w:r>
          </w:p>
        </w:tc>
        <w:tc>
          <w:tcPr>
            <w:tcBorders>
              <w:bottom w:val="single"/>
            </w:tcBorders>
            <w:vAlign w:val="bottom"/>
          </w:tcPr>
          <w:p>
            <w:pPr>
              <w:pStyle w:val="Compact"/>
              <w:jc w:val="left"/>
            </w:pPr>
            <w:r>
              <w:t xml:space="preserve">FY2025</w:t>
            </w:r>
          </w:p>
        </w:tc>
        <w:tc>
          <w:tcPr>
            <w:tcBorders>
              <w:bottom w:val="single"/>
            </w:tcBorders>
            <w:vAlign w:val="bottom"/>
          </w:tcPr>
          <w:p>
            <w:pPr>
              <w:pStyle w:val="Compact"/>
              <w:jc w:val="left"/>
            </w:pPr>
            <w:r>
              <w:t xml:space="preserve">FY2024</w:t>
            </w:r>
          </w:p>
        </w:tc>
        <w:tc>
          <w:tcPr>
            <w:tcBorders>
              <w:bottom w:val="single"/>
            </w:tcBorders>
            <w:vAlign w:val="bottom"/>
          </w:tcPr>
          <w:p>
            <w:pPr>
              <w:pStyle w:val="Compact"/>
              <w:jc w:val="left"/>
            </w:pPr>
            <w:r>
              <w:t xml:space="preserve">FY2023</w:t>
            </w:r>
          </w:p>
        </w:tc>
        <w:tc>
          <w:tcPr>
            <w:tcBorders>
              <w:bottom w:val="single"/>
            </w:tcBorders>
            <w:vAlign w:val="bottom"/>
          </w:tcPr>
          <w:p>
            <w:pPr>
              <w:pStyle w:val="Compact"/>
              <w:jc w:val="left"/>
            </w:pPr>
            <w:r>
              <w:t xml:space="preserve">FY2022</w:t>
            </w:r>
          </w:p>
        </w:tc>
      </w:tr>
      <w:tr>
        <w:tc>
          <w:p>
            <w:pPr>
              <w:pStyle w:val="Compact"/>
              <w:jc w:val="left"/>
            </w:pPr>
            <w:r>
              <w:rPr>
                <w:b/>
              </w:rPr>
              <w:t xml:space="preserve">Revenue</w:t>
            </w:r>
          </w:p>
        </w:tc>
        <w:tc>
          <w:p>
            <w:pPr>
              <w:pStyle w:val="Compact"/>
              <w:jc w:val="left"/>
            </w:pPr>
            <w:r>
              <w:t xml:space="preserve">$7,902.5M</w:t>
            </w:r>
          </w:p>
        </w:tc>
        <w:tc>
          <w:p>
            <w:pPr>
              <w:pStyle w:val="Compact"/>
              <w:jc w:val="left"/>
            </w:pPr>
            <w:r>
              <w:t xml:space="preserve">$7,039.2M</w:t>
            </w:r>
          </w:p>
        </w:tc>
        <w:tc>
          <w:p>
            <w:pPr>
              <w:pStyle w:val="Compact"/>
              <w:jc w:val="left"/>
            </w:pPr>
            <w:r>
              <w:t xml:space="preserve">$6,177.8M</w:t>
            </w:r>
          </w:p>
        </w:tc>
        <w:tc>
          <w:p>
            <w:pPr>
              <w:pStyle w:val="Compact"/>
              <w:jc w:val="left"/>
            </w:pPr>
            <w:r>
              <w:t xml:space="preserve">$5,371.8M</w:t>
            </w:r>
          </w:p>
        </w:tc>
      </w:tr>
      <w:tr>
        <w:tc>
          <w:p>
            <w:pPr>
              <w:pStyle w:val="Compact"/>
              <w:jc w:val="left"/>
            </w:pPr>
            <w:r>
              <w:rPr>
                <w:b/>
              </w:rPr>
              <w:t xml:space="preserve">Gross Profit</w:t>
            </w:r>
          </w:p>
        </w:tc>
        <w:tc>
          <w:p>
            <w:pPr>
              <w:pStyle w:val="Compact"/>
              <w:jc w:val="left"/>
            </w:pPr>
            <w:r>
              <w:t xml:space="preserve">$5,472M</w:t>
            </w:r>
          </w:p>
        </w:tc>
        <w:tc>
          <w:p>
            <w:pPr>
              <w:pStyle w:val="Compact"/>
              <w:jc w:val="left"/>
            </w:pPr>
            <w:r>
              <w:t xml:space="preserve">—</w:t>
            </w:r>
          </w:p>
        </w:tc>
        <w:tc>
          <w:p>
            <w:pPr>
              <w:pStyle w:val="Compact"/>
              <w:jc w:val="left"/>
            </w:pPr>
            <w:r>
              <w:t xml:space="preserve">—</w:t>
            </w:r>
          </w:p>
        </w:tc>
        <w:tc>
          <w:p>
            <w:pPr>
              <w:pStyle w:val="Compact"/>
              <w:jc w:val="left"/>
            </w:pPr>
            <w:r>
              <w:t xml:space="preserve">—</w:t>
            </w:r>
          </w:p>
        </w:tc>
      </w:tr>
      <w:tr>
        <w:tc>
          <w:p>
            <w:pPr>
              <w:pStyle w:val="Compact"/>
              <w:jc w:val="left"/>
            </w:pPr>
            <w:r>
              <w:rPr>
                <w:b/>
              </w:rPr>
              <w:t xml:space="preserve">Gross Margin %</w:t>
            </w:r>
          </w:p>
        </w:tc>
        <w:tc>
          <w:p>
            <w:pPr>
              <w:pStyle w:val="Compact"/>
              <w:jc w:val="left"/>
            </w:pPr>
            <w:r>
              <w:t xml:space="preserve">69.2%</w:t>
            </w:r>
          </w:p>
        </w:tc>
        <w:tc>
          <w:p>
            <w:pPr>
              <w:pStyle w:val="Compact"/>
              <w:jc w:val="left"/>
            </w:pPr>
            <w:r>
              <w:t xml:space="preserve">69.3%</w:t>
            </w:r>
          </w:p>
        </w:tc>
        <w:tc>
          <w:p>
            <w:pPr>
              <w:pStyle w:val="Compact"/>
              <w:jc w:val="left"/>
            </w:pPr>
            <w:r>
              <w:t xml:space="preserve">69.7%</w:t>
            </w:r>
          </w:p>
        </w:tc>
        <w:tc>
          <w:p>
            <w:pPr>
              <w:pStyle w:val="Compact"/>
              <w:jc w:val="left"/>
            </w:pPr>
            <w:r>
              <w:t xml:space="preserve">—</w:t>
            </w:r>
          </w:p>
        </w:tc>
      </w:tr>
      <w:tr>
        <w:tc>
          <w:p>
            <w:pPr>
              <w:pStyle w:val="Compact"/>
              <w:jc w:val="left"/>
            </w:pPr>
            <w:r>
              <w:rPr>
                <w:b/>
              </w:rPr>
              <w:t xml:space="preserve">Operating Income</w:t>
            </w:r>
          </w:p>
        </w:tc>
        <w:tc>
          <w:p>
            <w:pPr>
              <w:pStyle w:val="Compact"/>
              <w:jc w:val="left"/>
            </w:pPr>
            <w:r>
              <w:t xml:space="preserve">$2,235.4M</w:t>
            </w:r>
          </w:p>
        </w:tc>
        <w:tc>
          <w:p>
            <w:pPr>
              <w:pStyle w:val="Compact"/>
              <w:jc w:val="left"/>
            </w:pPr>
            <w:r>
              <w:t xml:space="preserve">—</w:t>
            </w:r>
          </w:p>
        </w:tc>
        <w:tc>
          <w:p>
            <w:pPr>
              <w:pStyle w:val="Compact"/>
              <w:jc w:val="left"/>
            </w:pPr>
            <w:r>
              <w:t xml:space="preserve">—</w:t>
            </w:r>
          </w:p>
        </w:tc>
        <w:tc>
          <w:p>
            <w:pPr>
              <w:pStyle w:val="Compact"/>
              <w:jc w:val="left"/>
            </w:pPr>
            <w:r>
              <w:t xml:space="preserve">$1,524.5M</w:t>
            </w:r>
          </w:p>
        </w:tc>
      </w:tr>
      <w:tr>
        <w:tc>
          <w:p>
            <w:pPr>
              <w:pStyle w:val="Compact"/>
              <w:jc w:val="left"/>
            </w:pPr>
            <w:r>
              <w:rPr>
                <w:b/>
              </w:rPr>
              <w:t xml:space="preserve">Operating Margin %</w:t>
            </w:r>
          </w:p>
        </w:tc>
        <w:tc>
          <w:p>
            <w:pPr>
              <w:pStyle w:val="Compact"/>
              <w:jc w:val="left"/>
            </w:pPr>
            <w:r>
              <w:t xml:space="preserve">28.3%</w:t>
            </w:r>
          </w:p>
        </w:tc>
        <w:tc>
          <w:p>
            <w:pPr>
              <w:pStyle w:val="Compact"/>
              <w:jc w:val="left"/>
            </w:pPr>
            <w:r>
              <w:t xml:space="preserve">28.4%</w:t>
            </w:r>
          </w:p>
        </w:tc>
        <w:tc>
          <w:p>
            <w:pPr>
              <w:pStyle w:val="Compact"/>
              <w:jc w:val="left"/>
            </w:pPr>
            <w:r>
              <w:t xml:space="preserve">28.2%</w:t>
            </w:r>
          </w:p>
        </w:tc>
        <w:tc>
          <w:p>
            <w:pPr>
              <w:pStyle w:val="Compact"/>
              <w:jc w:val="left"/>
            </w:pPr>
            <w:r>
              <w:t xml:space="preserve">—</w:t>
            </w:r>
          </w:p>
        </w:tc>
      </w:tr>
      <w:tr>
        <w:tc>
          <w:p>
            <w:pPr>
              <w:pStyle w:val="Compact"/>
              <w:jc w:val="left"/>
            </w:pPr>
            <w:r>
              <w:rPr>
                <w:b/>
              </w:rPr>
              <w:t xml:space="preserve">Adj. EBITDA</w:t>
            </w:r>
          </w:p>
        </w:tc>
        <w:tc>
          <w:p>
            <w:pPr>
              <w:pStyle w:val="Compact"/>
              <w:jc w:val="left"/>
            </w:pPr>
            <w:r>
              <w:t xml:space="preserve">$3,143M</w:t>
            </w:r>
          </w:p>
        </w:tc>
        <w:tc>
          <w:p>
            <w:pPr>
              <w:pStyle w:val="Compact"/>
              <w:jc w:val="left"/>
            </w:pPr>
            <w:r>
              <w:t xml:space="preserve">$2,832M</w:t>
            </w:r>
          </w:p>
        </w:tc>
        <w:tc>
          <w:p>
            <w:pPr>
              <w:pStyle w:val="Compact"/>
              <w:jc w:val="left"/>
            </w:pPr>
            <w:r>
              <w:t xml:space="preserve">$2,511M</w:t>
            </w:r>
          </w:p>
        </w:tc>
        <w:tc>
          <w:p>
            <w:pPr>
              <w:pStyle w:val="Compact"/>
              <w:jc w:val="left"/>
            </w:pPr>
            <w:r>
              <w:t xml:space="preserve">$2,170M</w:t>
            </w:r>
          </w:p>
        </w:tc>
      </w:tr>
      <w:tr>
        <w:tc>
          <w:p>
            <w:pPr>
              <w:pStyle w:val="Compact"/>
              <w:jc w:val="left"/>
            </w:pPr>
            <w:r>
              <w:rPr>
                <w:b/>
              </w:rPr>
              <w:t xml:space="preserve">Adj. EBITDA Margin %</w:t>
            </w:r>
          </w:p>
        </w:tc>
        <w:tc>
          <w:p>
            <w:pPr>
              <w:pStyle w:val="Compact"/>
              <w:jc w:val="left"/>
            </w:pPr>
            <w:r>
              <w:t xml:space="preserve">39.8%</w:t>
            </w:r>
          </w:p>
        </w:tc>
        <w:tc>
          <w:p>
            <w:pPr>
              <w:pStyle w:val="Compact"/>
              <w:jc w:val="left"/>
            </w:pPr>
            <w:r>
              <w:t xml:space="preserve">40.2%</w:t>
            </w:r>
          </w:p>
        </w:tc>
        <w:tc>
          <w:p>
            <w:pPr>
              <w:pStyle w:val="Compact"/>
              <w:jc w:val="left"/>
            </w:pPr>
            <w:r>
              <w:t xml:space="preserve">40.6%</w:t>
            </w:r>
          </w:p>
        </w:tc>
        <w:tc>
          <w:p>
            <w:pPr>
              <w:pStyle w:val="Compact"/>
              <w:jc w:val="left"/>
            </w:pPr>
            <w:r>
              <w:t xml:space="preserve">40.4%</w:t>
            </w:r>
          </w:p>
        </w:tc>
      </w:tr>
      <w:tr>
        <w:tc>
          <w:p>
            <w:pPr>
              <w:pStyle w:val="Compact"/>
              <w:jc w:val="left"/>
            </w:pPr>
            <w:r>
              <w:rPr>
                <w:b/>
              </w:rPr>
              <w:t xml:space="preserve">GAAP Net Income</w:t>
            </w:r>
          </w:p>
        </w:tc>
        <w:tc>
          <w:p>
            <w:pPr>
              <w:pStyle w:val="Compact"/>
              <w:jc w:val="left"/>
            </w:pPr>
            <w:r>
              <w:t xml:space="preserve">$1,536.3M</w:t>
            </w:r>
          </w:p>
        </w:tc>
        <w:tc>
          <w:p>
            <w:pPr>
              <w:pStyle w:val="Compact"/>
              <w:jc w:val="left"/>
            </w:pPr>
            <w:r>
              <w:t xml:space="preserve">$1,549.3M</w:t>
            </w:r>
          </w:p>
        </w:tc>
        <w:tc>
          <w:p>
            <w:pPr>
              <w:pStyle w:val="Compact"/>
              <w:jc w:val="left"/>
            </w:pPr>
            <w:r>
              <w:t xml:space="preserve">$1,384.2M*</w:t>
            </w:r>
          </w:p>
        </w:tc>
        <w:tc>
          <w:p>
            <w:pPr>
              <w:pStyle w:val="Compact"/>
              <w:jc w:val="left"/>
            </w:pPr>
            <w:r>
              <w:t xml:space="preserve">—</w:t>
            </w:r>
          </w:p>
        </w:tc>
      </w:tr>
      <w:tr>
        <w:tc>
          <w:p>
            <w:pPr>
              <w:pStyle w:val="Compact"/>
              <w:jc w:val="left"/>
            </w:pPr>
            <w:r>
              <w:rPr>
                <w:b/>
              </w:rPr>
              <w:t xml:space="preserve">Adj. Net Earnings</w:t>
            </w:r>
          </w:p>
        </w:tc>
        <w:tc>
          <w:p>
            <w:pPr>
              <w:pStyle w:val="Compact"/>
              <w:jc w:val="left"/>
            </w:pPr>
            <w:r>
              <w:t xml:space="preserve">$2,163M</w:t>
            </w:r>
          </w:p>
        </w:tc>
        <w:tc>
          <w:p>
            <w:pPr>
              <w:pStyle w:val="Compact"/>
              <w:jc w:val="left"/>
            </w:pPr>
            <w:r>
              <w:t xml:space="preserve">—</w:t>
            </w:r>
          </w:p>
        </w:tc>
        <w:tc>
          <w:p>
            <w:pPr>
              <w:pStyle w:val="Compact"/>
              <w:jc w:val="left"/>
            </w:pPr>
            <w:r>
              <w:t xml:space="preserve">—</w:t>
            </w:r>
          </w:p>
        </w:tc>
        <w:tc>
          <w:p>
            <w:pPr>
              <w:pStyle w:val="Compact"/>
              <w:jc w:val="left"/>
            </w:pPr>
            <w:r>
              <w:t xml:space="preserve">—</w:t>
            </w:r>
          </w:p>
        </w:tc>
      </w:tr>
      <w:tr>
        <w:tc>
          <w:p>
            <w:pPr>
              <w:pStyle w:val="Compact"/>
              <w:jc w:val="left"/>
            </w:pPr>
            <w:r>
              <w:rPr>
                <w:b/>
              </w:rPr>
              <w:t xml:space="preserve">Diluted Shares Outstanding</w:t>
            </w:r>
          </w:p>
        </w:tc>
        <w:tc>
          <w:p>
            <w:pPr>
              <w:pStyle w:val="Compact"/>
              <w:jc w:val="left"/>
            </w:pPr>
            <w:r>
              <w:t xml:space="preserve">108.2M</w:t>
            </w:r>
          </w:p>
        </w:tc>
        <w:tc>
          <w:p>
            <w:pPr>
              <w:pStyle w:val="Compact"/>
              <w:jc w:val="left"/>
            </w:pPr>
            <w:r>
              <w:t xml:space="preserve">—</w:t>
            </w:r>
          </w:p>
        </w:tc>
        <w:tc>
          <w:p>
            <w:pPr>
              <w:pStyle w:val="Compact"/>
              <w:jc w:val="left"/>
            </w:pPr>
            <w:r>
              <w:t xml:space="preserve">—</w:t>
            </w:r>
          </w:p>
        </w:tc>
        <w:tc>
          <w:p>
            <w:pPr>
              <w:pStyle w:val="Compact"/>
              <w:jc w:val="left"/>
            </w:pPr>
            <w:r>
              <w:t xml:space="preserve">—</w:t>
            </w:r>
          </w:p>
        </w:tc>
      </w:tr>
      <w:tr>
        <w:tc>
          <w:p>
            <w:pPr>
              <w:pStyle w:val="Compact"/>
              <w:jc w:val="left"/>
            </w:pPr>
            <w:r>
              <w:rPr>
                <w:b/>
              </w:rPr>
              <w:t xml:space="preserve">Adj. DEPS</w:t>
            </w:r>
          </w:p>
        </w:tc>
        <w:tc>
          <w:p>
            <w:pPr>
              <w:pStyle w:val="Compact"/>
              <w:jc w:val="left"/>
            </w:pPr>
            <w:r>
              <w:t xml:space="preserve">$20.00</w:t>
            </w:r>
          </w:p>
        </w:tc>
        <w:tc>
          <w:p>
            <w:pPr>
              <w:pStyle w:val="Compact"/>
              <w:jc w:val="left"/>
            </w:pPr>
            <w:r>
              <w:t xml:space="preserve">$18.31</w:t>
            </w:r>
          </w:p>
        </w:tc>
        <w:tc>
          <w:p>
            <w:pPr>
              <w:pStyle w:val="Compact"/>
              <w:jc w:val="left"/>
            </w:pPr>
            <w:r>
              <w:t xml:space="preserve">$12.89†</w:t>
            </w:r>
          </w:p>
        </w:tc>
        <w:tc>
          <w:p>
            <w:pPr>
              <w:pStyle w:val="Compact"/>
              <w:jc w:val="left"/>
            </w:pPr>
            <w:r>
              <w:t xml:space="preserve">—</w:t>
            </w:r>
          </w:p>
        </w:tc>
      </w:tr>
    </w:tbl>
    <w:p>
      <w:pPr>
        <w:pStyle w:val="BodyText"/>
      </w:pPr>
      <w:r>
        <w:t xml:space="preserve">*FY2023 includes discontinued operations; †Continuing operations basis.</w:t>
      </w:r>
      <w:r>
        <w:t xml:space="preserve"> </w:t>
      </w:r>
      <w:r>
        <w:t xml:space="preserve">[Sources: FY2025 10-K, FY2024/FY2023 10-Ks, Earnings slides]</w:t>
      </w:r>
    </w:p>
    <w:p>
      <w:pPr>
        <w:pStyle w:val="BodyText"/>
      </w:pPr>
      <w:r>
        <w:rPr>
          <w:b/>
        </w:rPr>
        <w:t xml:space="preserve">Key Observations:</w:t>
      </w:r>
      <w:r>
        <w:t xml:space="preserve"> </w:t>
      </w:r>
      <w:r>
        <w:t xml:space="preserve">-</w:t>
      </w:r>
      <w:r>
        <w:t xml:space="preserve"> </w:t>
      </w:r>
      <w:r>
        <w:rPr>
          <w:b/>
        </w:rPr>
        <w:t xml:space="preserve">Organic Revenue CAGR (FY2022–FY2025):</w:t>
      </w:r>
      <w:r>
        <w:t xml:space="preserve"> </w:t>
      </w:r>
      <w:r>
        <w:t xml:space="preserve">+13.0% assuming organic growth of +6.5%, +4.5%, +6.3% respectively [derived from segment commentary]</w:t>
      </w:r>
      <w:r>
        <w:t xml:space="preserve"> </w:t>
      </w:r>
      <w:r>
        <w:t xml:space="preserve">-</w:t>
      </w:r>
      <w:r>
        <w:t xml:space="preserve"> </w:t>
      </w:r>
      <w:r>
        <w:rPr>
          <w:b/>
        </w:rPr>
        <w:t xml:space="preserve">Gross margin expansion opportunity exhausted:</w:t>
      </w:r>
      <w:r>
        <w:t xml:space="preserve"> </w:t>
      </w:r>
      <w:r>
        <w:t xml:space="preserve">69.2% in FY2025 vs. 69.7% in FY2023 suggests mixed margin product mix from M&amp;A.</w:t>
      </w:r>
      <w:r>
        <w:t xml:space="preserve"> </w:t>
      </w:r>
      <w:r>
        <w:t xml:space="preserve">-</w:t>
      </w:r>
      <w:r>
        <w:t xml:space="preserve"> </w:t>
      </w:r>
      <w:r>
        <w:rPr>
          <w:b/>
        </w:rPr>
        <w:t xml:space="preserve">Operating leverage:</w:t>
      </w:r>
      <w:r>
        <w:t xml:space="preserve"> </w:t>
      </w:r>
      <w:r>
        <w:t xml:space="preserve">+28.3% op. margin supports EBITDA conversion; core EBITDA margin +30 bps YoY [Earnings slides].</w:t>
      </w:r>
    </w:p>
    <w:p>
      <w:r>
        <w:pict>
          <v:rect style="width:0;height:1.5pt" o:hralign="center" o:hrstd="t" o:hr="t"/>
        </w:pict>
      </w:r>
    </w:p>
    <w:p>
      <w:pPr>
        <w:pStyle w:val="Heading3"/>
      </w:pPr>
      <w:bookmarkStart w:id="30" w:name="Xd837a89b5a3ab1aa38b985f1ab2dd5f4d2be4a7"/>
      <w:r>
        <w:t xml:space="preserve">0D. Revenue Quality and Composition (FY2025)</w:t>
      </w:r>
      <w:bookmarkEnd w:id="30"/>
    </w:p>
    <w:p>
      <w:pPr>
        <w:pStyle w:val="FirstParagraph"/>
      </w:pPr>
      <w:r>
        <w:t xml:space="preserve">Total Software Revenue:</w:t>
      </w:r>
      <w:r>
        <w:t xml:space="preserve"> </w:t>
      </w:r>
      <w:r>
        <w:rPr>
          <w:b/>
        </w:rPr>
        <w:t xml:space="preserve">$6,130M</w:t>
      </w:r>
      <w:r>
        <w:t xml:space="preserve"> </w:t>
      </w:r>
      <w:r>
        <w:t xml:space="preserve">(77.5% of total)</w:t>
      </w:r>
      <w:r>
        <w:t xml:space="preserve"> </w:t>
      </w:r>
      <w:r>
        <w:t xml:space="preserve">- Recurring: $4,483M (58.0% of total revenue)</w:t>
      </w:r>
      <w:r>
        <w:t xml:space="preserve"> </w:t>
      </w:r>
      <w:r>
        <w:t xml:space="preserve">- Reoccurring: $833M (10.5% of total revenue)</w:t>
      </w:r>
      <w:r>
        <w:t xml:space="preserve"> </w:t>
      </w:r>
      <w:r>
        <w:t xml:space="preserve">- Non-Recurring: $814M (10.3% of total revenue)</w:t>
      </w:r>
    </w:p>
    <w:p>
      <w:pPr>
        <w:pStyle w:val="BodyText"/>
      </w:pPr>
      <w:r>
        <w:t xml:space="preserve">Total Product Revenue:</w:t>
      </w:r>
      <w:r>
        <w:t xml:space="preserve"> </w:t>
      </w:r>
      <w:r>
        <w:rPr>
          <w:b/>
        </w:rPr>
        <w:t xml:space="preserve">$1,773M</w:t>
      </w:r>
      <w:r>
        <w:t xml:space="preserve"> </w:t>
      </w:r>
      <w:r>
        <w:t xml:space="preserve">(22.5% of total)</w:t>
      </w:r>
    </w:p>
    <w:p>
      <w:pPr>
        <w:pStyle w:val="BodyText"/>
      </w:pPr>
      <w:r>
        <w:rPr>
          <w:b/>
        </w:rPr>
        <w:t xml:space="preserve">Structurally Recurring + Reoccurring Revenue:</w:t>
      </w:r>
      <w:r>
        <w:t xml:space="preserve"> </w:t>
      </w:r>
      <w:r>
        <w:t xml:space="preserve">$5,316M (67.3% of total)</w:t>
      </w:r>
      <w:r>
        <w:t xml:space="preserve"> </w:t>
      </w:r>
      <w:r>
        <w:rPr>
          <w:b/>
        </w:rPr>
        <w:t xml:space="preserve">Organic Growth (Recurring+Reoccurring):</w:t>
      </w:r>
      <w:r>
        <w:t xml:space="preserve"> </w:t>
      </w:r>
      <w:r>
        <w:t xml:space="preserve">+6% [Earnings slides]</w:t>
      </w:r>
      <w:r>
        <w:t xml:space="preserve"> </w:t>
      </w:r>
      <w:r>
        <w:rPr>
          <w:b/>
        </w:rPr>
        <w:t xml:space="preserve">Organic Growth (Non-Recurring):</w:t>
      </w:r>
      <w:r>
        <w:t xml:space="preserve"> </w:t>
      </w:r>
      <w:r>
        <w:t xml:space="preserve">-1% [Earnings slides]</w:t>
      </w:r>
    </w:p>
    <w:p>
      <w:pPr>
        <w:pStyle w:val="BodyText"/>
      </w:pPr>
      <w:r>
        <w:rPr>
          <w:b/>
        </w:rPr>
        <w:t xml:space="preserve">Key Metrics:</w:t>
      </w:r>
      <w:r>
        <w:t xml:space="preserve"> </w:t>
      </w:r>
      <w:r>
        <w:t xml:space="preserve">-</w:t>
      </w:r>
      <w:r>
        <w:t xml:space="preserve"> </w:t>
      </w:r>
      <w:r>
        <w:rPr>
          <w:b/>
        </w:rPr>
        <w:t xml:space="preserve">RPO (Remaining Performance Obligation) Dec 2025:</w:t>
      </w:r>
      <w:r>
        <w:t xml:space="preserve"> </w:t>
      </w:r>
      <w:r>
        <w:t xml:space="preserve">$5,204.2M (vs. $4,754.9M Dec 2024,</w:t>
      </w:r>
      <w:r>
        <w:t xml:space="preserve"> </w:t>
      </w:r>
      <w:r>
        <w:rPr>
          <w:b/>
        </w:rPr>
        <w:t xml:space="preserve">+9.5%</w:t>
      </w:r>
      <w:r>
        <w:t xml:space="preserve">) [10-K]</w:t>
      </w:r>
      <w:r>
        <w:t xml:space="preserve"> </w:t>
      </w:r>
      <w:r>
        <w:t xml:space="preserve">-</w:t>
      </w:r>
      <w:r>
        <w:t xml:space="preserve"> </w:t>
      </w:r>
      <w:r>
        <w:rPr>
          <w:b/>
        </w:rPr>
        <w:t xml:space="preserve">12-Month Backlog Dec 2025:</w:t>
      </w:r>
      <w:r>
        <w:t xml:space="preserve"> </w:t>
      </w:r>
      <w:r>
        <w:t xml:space="preserve">$3,424.6M (vs. $3,105.4M Dec 2024,</w:t>
      </w:r>
      <w:r>
        <w:t xml:space="preserve"> </w:t>
      </w:r>
      <w:r>
        <w:rPr>
          <w:b/>
        </w:rPr>
        <w:t xml:space="preserve">+10.3%</w:t>
      </w:r>
      <w:r>
        <w:t xml:space="preserve">) [10-K]</w:t>
      </w:r>
      <w:r>
        <w:t xml:space="preserve"> </w:t>
      </w:r>
      <w:r>
        <w:t xml:space="preserve">-</w:t>
      </w:r>
      <w:r>
        <w:t xml:space="preserve"> </w:t>
      </w:r>
      <w:r>
        <w:rPr>
          <w:b/>
        </w:rPr>
        <w:t xml:space="preserve">Deferred Revenue (current):</w:t>
      </w:r>
      <w:r>
        <w:t xml:space="preserve"> </w:t>
      </w:r>
      <w:r>
        <w:t xml:space="preserve">$1,907M;</w:t>
      </w:r>
      <w:r>
        <w:t xml:space="preserve"> </w:t>
      </w:r>
      <w:r>
        <w:rPr>
          <w:b/>
        </w:rPr>
        <w:t xml:space="preserve">(non-current):</w:t>
      </w:r>
      <w:r>
        <w:t xml:space="preserve"> </w:t>
      </w:r>
      <w:r>
        <w:t xml:space="preserve">$171M;</w:t>
      </w:r>
      <w:r>
        <w:t xml:space="preserve"> </w:t>
      </w:r>
      <w:r>
        <w:rPr>
          <w:b/>
        </w:rPr>
        <w:t xml:space="preserve">Total:</w:t>
      </w:r>
      <w:r>
        <w:t xml:space="preserve"> </w:t>
      </w:r>
      <w:r>
        <w:t xml:space="preserve">$2,078M [FY2025 10-K]</w:t>
      </w:r>
    </w:p>
    <w:p>
      <w:pPr>
        <w:pStyle w:val="BodyText"/>
      </w:pPr>
      <w:r>
        <w:rPr>
          <w:b/>
        </w:rPr>
        <w:t xml:space="preserve">Investor Implication:</w:t>
      </w:r>
      <w:r>
        <w:t xml:space="preserve"> </w:t>
      </w:r>
      <w:r>
        <w:t xml:space="preserve">67% structural recurring/reoccurring revenue base with +9.5% RPO growth provides high visibility and downside protection; deferred revenue $2.08B creates revenue floor for near-term quarters.</w:t>
      </w:r>
    </w:p>
    <w:p>
      <w:r>
        <w:pict>
          <v:rect style="width:0;height:1.5pt" o:hralign="center" o:hrstd="t" o:hr="t"/>
        </w:pict>
      </w:r>
    </w:p>
    <w:p>
      <w:pPr>
        <w:pStyle w:val="Heading3"/>
      </w:pPr>
      <w:bookmarkStart w:id="31" w:name="e.-comprehensive-kpi-inventory"/>
      <w:r>
        <w:t xml:space="preserve">0E. Comprehensive KPI Inventory</w:t>
      </w:r>
      <w:bookmarkEnd w:id="31"/>
    </w:p>
    <w:p>
      <w:pPr>
        <w:pStyle w:val="Heading4"/>
      </w:pPr>
      <w:bookmarkStart w:id="32" w:name="growth-metrics"/>
      <w:r>
        <w:rPr>
          <w:b/>
        </w:rPr>
        <w:t xml:space="preserve">Growth Metrics</w:t>
      </w:r>
      <w:bookmarkEnd w:id="32"/>
    </w:p>
    <w:tbl>
      <w:tblPr>
        <w:tblStyle w:val="Table"/>
        <w:tblW w:type="pct" w:w="0.0"/>
        <w:tblLook w:firstRow="1"/>
      </w:tblPr>
      <w:tblGrid/>
      <w:tr>
        <w:trPr>
          <w:cnfStyle w:firstRow="1"/>
        </w:trPr>
        <w:tc>
          <w:tcPr>
            <w:tcBorders>
              <w:bottom w:val="single"/>
            </w:tcBorders>
            <w:vAlign w:val="bottom"/>
          </w:tcPr>
          <w:p>
            <w:pPr>
              <w:pStyle w:val="Compact"/>
              <w:jc w:val="left"/>
            </w:pPr>
            <w:r>
              <w:t xml:space="preserve">KPI</w:t>
            </w:r>
          </w:p>
        </w:tc>
        <w:tc>
          <w:tcPr>
            <w:tcBorders>
              <w:bottom w:val="single"/>
            </w:tcBorders>
            <w:vAlign w:val="bottom"/>
          </w:tcPr>
          <w:p>
            <w:pPr>
              <w:pStyle w:val="Compact"/>
              <w:jc w:val="left"/>
            </w:pPr>
            <w:r>
              <w:t xml:space="preserve">FY2025 Value</w:t>
            </w:r>
          </w:p>
        </w:tc>
        <w:tc>
          <w:tcPr>
            <w:tcBorders>
              <w:bottom w:val="single"/>
            </w:tcBorders>
            <w:vAlign w:val="bottom"/>
          </w:tcPr>
          <w:p>
            <w:pPr>
              <w:pStyle w:val="Compact"/>
              <w:jc w:val="left"/>
            </w:pPr>
            <w:r>
              <w:t xml:space="preserve">Source</w:t>
            </w:r>
          </w:p>
        </w:tc>
      </w:tr>
      <w:tr>
        <w:tc>
          <w:p>
            <w:pPr>
              <w:pStyle w:val="Compact"/>
              <w:jc w:val="left"/>
            </w:pPr>
            <w:r>
              <w:t xml:space="preserve">Total Revenue Growth (YoY)</w:t>
            </w:r>
          </w:p>
        </w:tc>
        <w:tc>
          <w:p>
            <w:pPr>
              <w:pStyle w:val="Compact"/>
              <w:jc w:val="left"/>
            </w:pPr>
            <w:r>
              <w:t xml:space="preserve">+12.3%</w:t>
            </w:r>
          </w:p>
        </w:tc>
        <w:tc>
          <w:p>
            <w:pPr>
              <w:pStyle w:val="Compact"/>
              <w:jc w:val="left"/>
            </w:pPr>
            <w:r>
              <w:t xml:space="preserve">[FY2025 10-K]</w:t>
            </w:r>
          </w:p>
        </w:tc>
      </w:tr>
      <w:tr>
        <w:tc>
          <w:p>
            <w:pPr>
              <w:pStyle w:val="Compact"/>
              <w:jc w:val="left"/>
            </w:pPr>
            <w:r>
              <w:t xml:space="preserve">Organic Revenue Growth</w:t>
            </w:r>
          </w:p>
        </w:tc>
        <w:tc>
          <w:p>
            <w:pPr>
              <w:pStyle w:val="Compact"/>
              <w:jc w:val="left"/>
            </w:pPr>
            <w:r>
              <w:t xml:space="preserve">+6-7% (blended)</w:t>
            </w:r>
          </w:p>
        </w:tc>
        <w:tc>
          <w:p>
            <w:pPr>
              <w:pStyle w:val="Compact"/>
              <w:jc w:val="left"/>
            </w:pPr>
            <w:r>
              <w:t xml:space="preserve">[Earnings slides]</w:t>
            </w:r>
          </w:p>
        </w:tc>
      </w:tr>
      <w:tr>
        <w:tc>
          <w:p>
            <w:pPr>
              <w:pStyle w:val="Compact"/>
              <w:jc w:val="left"/>
            </w:pPr>
            <w:r>
              <w:t xml:space="preserve">Application Software Organic Growth</w:t>
            </w:r>
          </w:p>
        </w:tc>
        <w:tc>
          <w:p>
            <w:pPr>
              <w:pStyle w:val="Compact"/>
              <w:jc w:val="left"/>
            </w:pPr>
            <w:r>
              <w:t xml:space="preserve">+5%</w:t>
            </w:r>
          </w:p>
        </w:tc>
        <w:tc>
          <w:p>
            <w:pPr>
              <w:pStyle w:val="Compact"/>
              <w:jc w:val="left"/>
            </w:pPr>
            <w:r>
              <w:t xml:space="preserve">[Earnings slides]</w:t>
            </w:r>
          </w:p>
        </w:tc>
      </w:tr>
      <w:tr>
        <w:tc>
          <w:p>
            <w:pPr>
              <w:pStyle w:val="Compact"/>
              <w:jc w:val="left"/>
            </w:pPr>
            <w:r>
              <w:t xml:space="preserve">Network Software Organic Growth</w:t>
            </w:r>
          </w:p>
        </w:tc>
        <w:tc>
          <w:p>
            <w:pPr>
              <w:pStyle w:val="Compact"/>
              <w:jc w:val="left"/>
            </w:pPr>
            <w:r>
              <w:t xml:space="preserve">+4%</w:t>
            </w:r>
          </w:p>
        </w:tc>
        <w:tc>
          <w:p>
            <w:pPr>
              <w:pStyle w:val="Compact"/>
              <w:jc w:val="left"/>
            </w:pPr>
            <w:r>
              <w:t xml:space="preserve">[Earnings slides]</w:t>
            </w:r>
          </w:p>
        </w:tc>
      </w:tr>
      <w:tr>
        <w:tc>
          <w:p>
            <w:pPr>
              <w:pStyle w:val="Compact"/>
              <w:jc w:val="left"/>
            </w:pPr>
            <w:r>
              <w:t xml:space="preserve">Technology Products Organic Growth</w:t>
            </w:r>
          </w:p>
        </w:tc>
        <w:tc>
          <w:p>
            <w:pPr>
              <w:pStyle w:val="Compact"/>
              <w:jc w:val="left"/>
            </w:pPr>
            <w:r>
              <w:t xml:space="preserve">+6%</w:t>
            </w:r>
          </w:p>
        </w:tc>
        <w:tc>
          <w:p>
            <w:pPr>
              <w:pStyle w:val="Compact"/>
              <w:jc w:val="left"/>
            </w:pPr>
            <w:r>
              <w:t xml:space="preserve">[Earnings slides]</w:t>
            </w:r>
          </w:p>
        </w:tc>
      </w:tr>
      <w:tr>
        <w:tc>
          <w:p>
            <w:pPr>
              <w:pStyle w:val="Compact"/>
              <w:jc w:val="left"/>
            </w:pPr>
            <w:r>
              <w:t xml:space="preserve">M&amp;A Contribution (Application Software)</w:t>
            </w:r>
          </w:p>
        </w:tc>
        <w:tc>
          <w:p>
            <w:pPr>
              <w:pStyle w:val="Compact"/>
              <w:jc w:val="left"/>
            </w:pPr>
            <w:r>
              <w:t xml:space="preserve">+10%</w:t>
            </w:r>
          </w:p>
        </w:tc>
        <w:tc>
          <w:p>
            <w:pPr>
              <w:pStyle w:val="Compact"/>
              <w:jc w:val="left"/>
            </w:pPr>
            <w:r>
              <w:t xml:space="preserve">[Earnings slides]</w:t>
            </w:r>
          </w:p>
        </w:tc>
      </w:tr>
      <w:tr>
        <w:tc>
          <w:p>
            <w:pPr>
              <w:pStyle w:val="Compact"/>
              <w:jc w:val="left"/>
            </w:pPr>
            <w:r>
              <w:t xml:space="preserve">M&amp;A Contribution (Network Software)</w:t>
            </w:r>
          </w:p>
        </w:tc>
        <w:tc>
          <w:p>
            <w:pPr>
              <w:pStyle w:val="Compact"/>
              <w:jc w:val="left"/>
            </w:pPr>
            <w:r>
              <w:t xml:space="preserve">+4%</w:t>
            </w:r>
          </w:p>
        </w:tc>
        <w:tc>
          <w:p>
            <w:pPr>
              <w:pStyle w:val="Compact"/>
              <w:jc w:val="left"/>
            </w:pPr>
            <w:r>
              <w:t xml:space="preserve">[Earnings slides]</w:t>
            </w:r>
          </w:p>
        </w:tc>
      </w:tr>
      <w:tr>
        <w:tc>
          <w:p>
            <w:pPr>
              <w:pStyle w:val="Compact"/>
              <w:jc w:val="left"/>
            </w:pPr>
            <w:r>
              <w:t xml:space="preserve">Recurring+Reoccurring Revenue Growth (organic)</w:t>
            </w:r>
          </w:p>
        </w:tc>
        <w:tc>
          <w:p>
            <w:pPr>
              <w:pStyle w:val="Compact"/>
              <w:jc w:val="left"/>
            </w:pPr>
            <w:r>
              <w:t xml:space="preserve">+6%</w:t>
            </w:r>
          </w:p>
        </w:tc>
        <w:tc>
          <w:p>
            <w:pPr>
              <w:pStyle w:val="Compact"/>
              <w:jc w:val="left"/>
            </w:pPr>
            <w:r>
              <w:t xml:space="preserve">[Earnings slides]</w:t>
            </w:r>
          </w:p>
        </w:tc>
      </w:tr>
      <w:tr>
        <w:tc>
          <w:p>
            <w:pPr>
              <w:pStyle w:val="Compact"/>
              <w:jc w:val="left"/>
            </w:pPr>
            <w:r>
              <w:t xml:space="preserve">Non-Recurring Revenue Growth (organic)</w:t>
            </w:r>
          </w:p>
        </w:tc>
        <w:tc>
          <w:p>
            <w:pPr>
              <w:pStyle w:val="Compact"/>
              <w:jc w:val="left"/>
            </w:pPr>
            <w:r>
              <w:t xml:space="preserve">-1%</w:t>
            </w:r>
          </w:p>
        </w:tc>
        <w:tc>
          <w:p>
            <w:pPr>
              <w:pStyle w:val="Compact"/>
              <w:jc w:val="left"/>
            </w:pPr>
            <w:r>
              <w:t xml:space="preserve">[Earnings slides]</w:t>
            </w:r>
          </w:p>
        </w:tc>
      </w:tr>
      <w:tr>
        <w:tc>
          <w:p>
            <w:pPr>
              <w:pStyle w:val="Compact"/>
              <w:jc w:val="left"/>
            </w:pPr>
            <w:r>
              <w:t xml:space="preserve">RPO Growth (YoY)</w:t>
            </w:r>
          </w:p>
        </w:tc>
        <w:tc>
          <w:p>
            <w:pPr>
              <w:pStyle w:val="Compact"/>
              <w:jc w:val="left"/>
            </w:pPr>
            <w:r>
              <w:t xml:space="preserve">+9.5%</w:t>
            </w:r>
          </w:p>
        </w:tc>
        <w:tc>
          <w:p>
            <w:pPr>
              <w:pStyle w:val="Compact"/>
              <w:jc w:val="left"/>
            </w:pPr>
            <w:r>
              <w:t xml:space="preserve">[10-K]</w:t>
            </w:r>
          </w:p>
        </w:tc>
      </w:tr>
      <w:tr>
        <w:tc>
          <w:p>
            <w:pPr>
              <w:pStyle w:val="Compact"/>
              <w:jc w:val="left"/>
            </w:pPr>
            <w:r>
              <w:t xml:space="preserve">12-Month Backlog Growth (YoY)</w:t>
            </w:r>
          </w:p>
        </w:tc>
        <w:tc>
          <w:p>
            <w:pPr>
              <w:pStyle w:val="Compact"/>
              <w:jc w:val="left"/>
            </w:pPr>
            <w:r>
              <w:t xml:space="preserve">+10.3%</w:t>
            </w:r>
          </w:p>
        </w:tc>
        <w:tc>
          <w:p>
            <w:pPr>
              <w:pStyle w:val="Compact"/>
              <w:jc w:val="left"/>
            </w:pPr>
            <w:r>
              <w:t xml:space="preserve">[10-K]</w:t>
            </w:r>
          </w:p>
        </w:tc>
      </w:tr>
    </w:tbl>
    <w:p>
      <w:pPr>
        <w:pStyle w:val="Heading4"/>
      </w:pPr>
      <w:bookmarkStart w:id="33" w:name="profitability-margin-metrics"/>
      <w:r>
        <w:rPr>
          <w:b/>
        </w:rPr>
        <w:t xml:space="preserve">Profitability &amp; Margin Metrics</w:t>
      </w:r>
      <w:bookmarkEnd w:id="33"/>
    </w:p>
    <w:tbl>
      <w:tblPr>
        <w:tblStyle w:val="Table"/>
        <w:tblW w:type="pct" w:w="0.0"/>
        <w:tblLook w:firstRow="1"/>
      </w:tblPr>
      <w:tblGrid/>
      <w:tr>
        <w:trPr>
          <w:cnfStyle w:firstRow="1"/>
        </w:trPr>
        <w:tc>
          <w:tcPr>
            <w:tcBorders>
              <w:bottom w:val="single"/>
            </w:tcBorders>
            <w:vAlign w:val="bottom"/>
          </w:tcPr>
          <w:p>
            <w:pPr>
              <w:pStyle w:val="Compact"/>
              <w:jc w:val="left"/>
            </w:pPr>
            <w:r>
              <w:t xml:space="preserve">KPI</w:t>
            </w:r>
          </w:p>
        </w:tc>
        <w:tc>
          <w:tcPr>
            <w:tcBorders>
              <w:bottom w:val="single"/>
            </w:tcBorders>
            <w:vAlign w:val="bottom"/>
          </w:tcPr>
          <w:p>
            <w:pPr>
              <w:pStyle w:val="Compact"/>
              <w:jc w:val="left"/>
            </w:pPr>
            <w:r>
              <w:t xml:space="preserve">FY2025 Value</w:t>
            </w:r>
          </w:p>
        </w:tc>
        <w:tc>
          <w:tcPr>
            <w:tcBorders>
              <w:bottom w:val="single"/>
            </w:tcBorders>
            <w:vAlign w:val="bottom"/>
          </w:tcPr>
          <w:p>
            <w:pPr>
              <w:pStyle w:val="Compact"/>
              <w:jc w:val="left"/>
            </w:pPr>
            <w:r>
              <w:t xml:space="preserve">FY2024 Value</w:t>
            </w:r>
          </w:p>
        </w:tc>
        <w:tc>
          <w:tcPr>
            <w:tcBorders>
              <w:bottom w:val="single"/>
            </w:tcBorders>
            <w:vAlign w:val="bottom"/>
          </w:tcPr>
          <w:p>
            <w:pPr>
              <w:pStyle w:val="Compact"/>
              <w:jc w:val="left"/>
            </w:pPr>
            <w:r>
              <w:t xml:space="preserve">Source</w:t>
            </w:r>
          </w:p>
        </w:tc>
      </w:tr>
      <w:tr>
        <w:tc>
          <w:p>
            <w:pPr>
              <w:pStyle w:val="Compact"/>
              <w:jc w:val="left"/>
            </w:pPr>
            <w:r>
              <w:t xml:space="preserve">Gross Margin %</w:t>
            </w:r>
          </w:p>
        </w:tc>
        <w:tc>
          <w:p>
            <w:pPr>
              <w:pStyle w:val="Compact"/>
              <w:jc w:val="left"/>
            </w:pPr>
            <w:r>
              <w:t xml:space="preserve">69.2%</w:t>
            </w:r>
          </w:p>
        </w:tc>
        <w:tc>
          <w:p>
            <w:pPr>
              <w:pStyle w:val="Compact"/>
              <w:jc w:val="left"/>
            </w:pPr>
            <w:r>
              <w:t xml:space="preserve">69.3%</w:t>
            </w:r>
          </w:p>
        </w:tc>
        <w:tc>
          <w:p>
            <w:pPr>
              <w:pStyle w:val="Compact"/>
              <w:jc w:val="left"/>
            </w:pPr>
            <w:r>
              <w:t xml:space="preserve">[10-K]</w:t>
            </w:r>
          </w:p>
        </w:tc>
      </w:tr>
      <w:tr>
        <w:tc>
          <w:p>
            <w:pPr>
              <w:pStyle w:val="Compact"/>
              <w:jc w:val="left"/>
            </w:pPr>
            <w:r>
              <w:t xml:space="preserve">Operating Margin %</w:t>
            </w:r>
          </w:p>
        </w:tc>
        <w:tc>
          <w:p>
            <w:pPr>
              <w:pStyle w:val="Compact"/>
              <w:jc w:val="left"/>
            </w:pPr>
            <w:r>
              <w:t xml:space="preserve">28.3%</w:t>
            </w:r>
          </w:p>
        </w:tc>
        <w:tc>
          <w:p>
            <w:pPr>
              <w:pStyle w:val="Compact"/>
              <w:jc w:val="left"/>
            </w:pPr>
            <w:r>
              <w:t xml:space="preserve">28.4%</w:t>
            </w:r>
          </w:p>
        </w:tc>
        <w:tc>
          <w:p>
            <w:pPr>
              <w:pStyle w:val="Compact"/>
              <w:jc w:val="left"/>
            </w:pPr>
            <w:r>
              <w:t xml:space="preserve">[10-K]</w:t>
            </w:r>
          </w:p>
        </w:tc>
      </w:tr>
      <w:tr>
        <w:tc>
          <w:p>
            <w:pPr>
              <w:pStyle w:val="Compact"/>
              <w:jc w:val="left"/>
            </w:pPr>
            <w:r>
              <w:t xml:space="preserve">Adj. EBITDA Margin %</w:t>
            </w:r>
          </w:p>
        </w:tc>
        <w:tc>
          <w:p>
            <w:pPr>
              <w:pStyle w:val="Compact"/>
              <w:jc w:val="left"/>
            </w:pPr>
            <w:r>
              <w:t xml:space="preserve">39.8%</w:t>
            </w:r>
          </w:p>
        </w:tc>
        <w:tc>
          <w:p>
            <w:pPr>
              <w:pStyle w:val="Compact"/>
              <w:jc w:val="left"/>
            </w:pPr>
            <w:r>
              <w:t xml:space="preserve">40.2%</w:t>
            </w:r>
          </w:p>
        </w:tc>
        <w:tc>
          <w:p>
            <w:pPr>
              <w:pStyle w:val="Compact"/>
              <w:jc w:val="left"/>
            </w:pPr>
            <w:r>
              <w:t xml:space="preserve">[Earnings slides]</w:t>
            </w:r>
          </w:p>
        </w:tc>
      </w:tr>
      <w:tr>
        <w:tc>
          <w:p>
            <w:pPr>
              <w:pStyle w:val="Compact"/>
              <w:jc w:val="left"/>
            </w:pPr>
            <w:r>
              <w:t xml:space="preserve">Core EBITDA Margin (ex-M&amp;A)</w:t>
            </w:r>
          </w:p>
        </w:tc>
        <w:tc>
          <w:p>
            <w:pPr>
              <w:pStyle w:val="Compact"/>
              <w:jc w:val="left"/>
            </w:pPr>
            <w:r>
              <w:t xml:space="preserve">+30 bps</w:t>
            </w:r>
          </w:p>
        </w:tc>
        <w:tc>
          <w:p>
            <w:pPr>
              <w:pStyle w:val="Compact"/>
              <w:jc w:val="left"/>
            </w:pPr>
            <w:r>
              <w:t xml:space="preserve">—</w:t>
            </w:r>
          </w:p>
        </w:tc>
        <w:tc>
          <w:p>
            <w:pPr>
              <w:pStyle w:val="Compact"/>
              <w:jc w:val="left"/>
            </w:pPr>
            <w:r>
              <w:t xml:space="preserve">[Earnings slides]</w:t>
            </w:r>
          </w:p>
        </w:tc>
      </w:tr>
      <w:tr>
        <w:tc>
          <w:p>
            <w:pPr>
              <w:pStyle w:val="Compact"/>
              <w:jc w:val="left"/>
            </w:pPr>
            <w:r>
              <w:rPr>
                <w:b/>
              </w:rPr>
              <w:t xml:space="preserve">Application Software EBITDA Margin</w:t>
            </w:r>
          </w:p>
        </w:tc>
        <w:tc>
          <w:p>
            <w:pPr>
              <w:pStyle w:val="Compact"/>
              <w:jc w:val="left"/>
            </w:pPr>
            <w:r>
              <w:t xml:space="preserve">42.5%</w:t>
            </w:r>
          </w:p>
        </w:tc>
        <w:tc>
          <w:p>
            <w:pPr>
              <w:pStyle w:val="Compact"/>
              <w:jc w:val="left"/>
            </w:pPr>
            <w:r>
              <w:t xml:space="preserve">—</w:t>
            </w:r>
          </w:p>
        </w:tc>
        <w:tc>
          <w:p>
            <w:pPr>
              <w:pStyle w:val="Compact"/>
              <w:jc w:val="left"/>
            </w:pPr>
            <w:r>
              <w:t xml:space="preserve">[Earnings slides]</w:t>
            </w:r>
          </w:p>
        </w:tc>
      </w:tr>
      <w:tr>
        <w:tc>
          <w:p>
            <w:pPr>
              <w:pStyle w:val="Compact"/>
              <w:jc w:val="left"/>
            </w:pPr>
            <w:r>
              <w:rPr>
                <w:b/>
              </w:rPr>
              <w:t xml:space="preserve">Network Software EBITDA Margin</w:t>
            </w:r>
          </w:p>
        </w:tc>
        <w:tc>
          <w:p>
            <w:pPr>
              <w:pStyle w:val="Compact"/>
              <w:jc w:val="left"/>
            </w:pPr>
            <w:r>
              <w:t xml:space="preserve">54.1%</w:t>
            </w:r>
          </w:p>
        </w:tc>
        <w:tc>
          <w:p>
            <w:pPr>
              <w:pStyle w:val="Compact"/>
              <w:jc w:val="left"/>
            </w:pPr>
            <w:r>
              <w:t xml:space="preserve">—</w:t>
            </w:r>
          </w:p>
        </w:tc>
        <w:tc>
          <w:p>
            <w:pPr>
              <w:pStyle w:val="Compact"/>
              <w:jc w:val="left"/>
            </w:pPr>
            <w:r>
              <w:t xml:space="preserve">[Earnings slides]</w:t>
            </w:r>
          </w:p>
        </w:tc>
      </w:tr>
      <w:tr>
        <w:tc>
          <w:p>
            <w:pPr>
              <w:pStyle w:val="Compact"/>
              <w:jc w:val="left"/>
            </w:pPr>
            <w:r>
              <w:rPr>
                <w:b/>
              </w:rPr>
              <w:t xml:space="preserve">Technology Products EBITDA Margin</w:t>
            </w:r>
          </w:p>
        </w:tc>
        <w:tc>
          <w:p>
            <w:pPr>
              <w:pStyle w:val="Compact"/>
              <w:jc w:val="left"/>
            </w:pPr>
            <w:r>
              <w:t xml:space="preserve">35.7%</w:t>
            </w:r>
          </w:p>
        </w:tc>
        <w:tc>
          <w:p>
            <w:pPr>
              <w:pStyle w:val="Compact"/>
              <w:jc w:val="left"/>
            </w:pPr>
            <w:r>
              <w:t xml:space="preserve">—</w:t>
            </w:r>
          </w:p>
        </w:tc>
        <w:tc>
          <w:p>
            <w:pPr>
              <w:pStyle w:val="Compact"/>
              <w:jc w:val="left"/>
            </w:pPr>
            <w:r>
              <w:t xml:space="preserve">[Earnings slides]</w:t>
            </w:r>
          </w:p>
        </w:tc>
      </w:tr>
      <w:tr>
        <w:tc>
          <w:p>
            <w:pPr>
              <w:pStyle w:val="Compact"/>
              <w:jc w:val="left"/>
            </w:pPr>
            <w:r>
              <w:t xml:space="preserve">Tax Rate</w:t>
            </w:r>
          </w:p>
        </w:tc>
        <w:tc>
          <w:p>
            <w:pPr>
              <w:pStyle w:val="Compact"/>
              <w:jc w:val="left"/>
            </w:pPr>
            <w:r>
              <w:t xml:space="preserve">20.6%</w:t>
            </w:r>
          </w:p>
        </w:tc>
        <w:tc>
          <w:p>
            <w:pPr>
              <w:pStyle w:val="Compact"/>
              <w:jc w:val="left"/>
            </w:pPr>
            <w:r>
              <w:t xml:space="preserve">21.2%</w:t>
            </w:r>
          </w:p>
        </w:tc>
        <w:tc>
          <w:p>
            <w:pPr>
              <w:pStyle w:val="Compact"/>
              <w:jc w:val="left"/>
            </w:pPr>
            <w:r>
              <w:t xml:space="preserve">[10-K / Earnings slides]</w:t>
            </w:r>
          </w:p>
        </w:tc>
      </w:tr>
    </w:tbl>
    <w:p>
      <w:pPr>
        <w:pStyle w:val="Heading4"/>
      </w:pPr>
      <w:bookmarkStart w:id="34" w:name="cash-flow-capital-efficiency"/>
      <w:r>
        <w:rPr>
          <w:b/>
        </w:rPr>
        <w:t xml:space="preserve">Cash Flow &amp; Capital Efficiency</w:t>
      </w:r>
      <w:bookmarkEnd w:id="34"/>
    </w:p>
    <w:tbl>
      <w:tblPr>
        <w:tblStyle w:val="Table"/>
        <w:tblW w:type="pct" w:w="0.0"/>
        <w:tblLook w:firstRow="1"/>
      </w:tblPr>
      <w:tblGrid/>
      <w:tr>
        <w:trPr>
          <w:cnfStyle w:firstRow="1"/>
        </w:trPr>
        <w:tc>
          <w:tcPr>
            <w:tcBorders>
              <w:bottom w:val="single"/>
            </w:tcBorders>
            <w:vAlign w:val="bottom"/>
          </w:tcPr>
          <w:p>
            <w:pPr>
              <w:pStyle w:val="Compact"/>
              <w:jc w:val="left"/>
            </w:pPr>
            <w:r>
              <w:t xml:space="preserve">KPI</w:t>
            </w:r>
          </w:p>
        </w:tc>
        <w:tc>
          <w:tcPr>
            <w:tcBorders>
              <w:bottom w:val="single"/>
            </w:tcBorders>
            <w:vAlign w:val="bottom"/>
          </w:tcPr>
          <w:p>
            <w:pPr>
              <w:pStyle w:val="Compact"/>
              <w:jc w:val="left"/>
            </w:pPr>
            <w:r>
              <w:t xml:space="preserve">FY2025</w:t>
            </w:r>
          </w:p>
        </w:tc>
        <w:tc>
          <w:tcPr>
            <w:tcBorders>
              <w:bottom w:val="single"/>
            </w:tcBorders>
            <w:vAlign w:val="bottom"/>
          </w:tcPr>
          <w:p>
            <w:pPr>
              <w:pStyle w:val="Compact"/>
              <w:jc w:val="left"/>
            </w:pPr>
            <w:r>
              <w:t xml:space="preserve">FY2024</w:t>
            </w:r>
          </w:p>
        </w:tc>
        <w:tc>
          <w:tcPr>
            <w:tcBorders>
              <w:bottom w:val="single"/>
            </w:tcBorders>
            <w:vAlign w:val="bottom"/>
          </w:tcPr>
          <w:p>
            <w:pPr>
              <w:pStyle w:val="Compact"/>
              <w:jc w:val="left"/>
            </w:pPr>
            <w:r>
              <w:t xml:space="preserve">FY2023</w:t>
            </w:r>
          </w:p>
        </w:tc>
        <w:tc>
          <w:tcPr>
            <w:tcBorders>
              <w:bottom w:val="single"/>
            </w:tcBorders>
            <w:vAlign w:val="bottom"/>
          </w:tcPr>
          <w:p>
            <w:pPr>
              <w:pStyle w:val="Compact"/>
              <w:jc w:val="left"/>
            </w:pPr>
            <w:r>
              <w:t xml:space="preserve">Source</w:t>
            </w:r>
          </w:p>
        </w:tc>
      </w:tr>
      <w:tr>
        <w:tc>
          <w:p>
            <w:pPr>
              <w:pStyle w:val="Compact"/>
              <w:jc w:val="left"/>
            </w:pPr>
            <w:r>
              <w:t xml:space="preserve">Operating Cash Flow</w:t>
            </w:r>
          </w:p>
        </w:tc>
        <w:tc>
          <w:p>
            <w:pPr>
              <w:pStyle w:val="Compact"/>
              <w:jc w:val="left"/>
            </w:pPr>
            <w:r>
              <w:t xml:space="preserve">$2,540.3M</w:t>
            </w:r>
          </w:p>
        </w:tc>
        <w:tc>
          <w:p>
            <w:pPr>
              <w:pStyle w:val="Compact"/>
              <w:jc w:val="left"/>
            </w:pPr>
            <w:r>
              <w:t xml:space="preserve">$2,393.2M</w:t>
            </w:r>
          </w:p>
        </w:tc>
        <w:tc>
          <w:p>
            <w:pPr>
              <w:pStyle w:val="Compact"/>
              <w:jc w:val="left"/>
            </w:pPr>
            <w:r>
              <w:t xml:space="preserve">$2,035.1M</w:t>
            </w:r>
          </w:p>
        </w:tc>
        <w:tc>
          <w:p>
            <w:pPr>
              <w:pStyle w:val="Compact"/>
              <w:jc w:val="left"/>
            </w:pPr>
            <w:r>
              <w:t xml:space="preserve">[10-K]</w:t>
            </w:r>
          </w:p>
        </w:tc>
      </w:tr>
      <w:tr>
        <w:tc>
          <w:p>
            <w:pPr>
              <w:pStyle w:val="Compact"/>
              <w:jc w:val="left"/>
            </w:pPr>
            <w:r>
              <w:t xml:space="preserve">Capex</w:t>
            </w:r>
          </w:p>
        </w:tc>
        <w:tc>
          <w:p>
            <w:pPr>
              <w:pStyle w:val="Compact"/>
              <w:jc w:val="left"/>
            </w:pPr>
            <w:r>
              <w:t xml:space="preserve">$47.4M</w:t>
            </w:r>
          </w:p>
        </w:tc>
        <w:tc>
          <w:p>
            <w:pPr>
              <w:pStyle w:val="Compact"/>
              <w:jc w:val="left"/>
            </w:pPr>
            <w:r>
              <w:t xml:space="preserve">—</w:t>
            </w:r>
          </w:p>
        </w:tc>
        <w:tc>
          <w:p>
            <w:pPr>
              <w:pStyle w:val="Compact"/>
              <w:jc w:val="left"/>
            </w:pPr>
            <w:r>
              <w:t xml:space="preserve">—</w:t>
            </w:r>
          </w:p>
        </w:tc>
        <w:tc>
          <w:p>
            <w:pPr>
              <w:pStyle w:val="Compact"/>
              <w:jc w:val="left"/>
            </w:pPr>
            <w:r>
              <w:t xml:space="preserve">[10-K]</w:t>
            </w:r>
          </w:p>
        </w:tc>
      </w:tr>
      <w:tr>
        <w:tc>
          <w:p>
            <w:pPr>
              <w:pStyle w:val="Compact"/>
              <w:jc w:val="left"/>
            </w:pPr>
            <w:r>
              <w:t xml:space="preserve">Capitalized Software</w:t>
            </w:r>
          </w:p>
        </w:tc>
        <w:tc>
          <w:p>
            <w:pPr>
              <w:pStyle w:val="Compact"/>
              <w:jc w:val="left"/>
            </w:pPr>
            <w:r>
              <w:t xml:space="preserve">$57M</w:t>
            </w:r>
          </w:p>
        </w:tc>
        <w:tc>
          <w:p>
            <w:pPr>
              <w:pStyle w:val="Compact"/>
              <w:jc w:val="left"/>
            </w:pPr>
            <w:r>
              <w:t xml:space="preserve">—</w:t>
            </w:r>
          </w:p>
        </w:tc>
        <w:tc>
          <w:p>
            <w:pPr>
              <w:pStyle w:val="Compact"/>
              <w:jc w:val="left"/>
            </w:pPr>
            <w:r>
              <w:t xml:space="preserve">—</w:t>
            </w:r>
          </w:p>
        </w:tc>
        <w:tc>
          <w:p>
            <w:pPr>
              <w:pStyle w:val="Compact"/>
              <w:jc w:val="left"/>
            </w:pPr>
            <w:r>
              <w:t xml:space="preserve">[10-K]</w:t>
            </w:r>
          </w:p>
        </w:tc>
      </w:tr>
      <w:tr>
        <w:tc>
          <w:p>
            <w:pPr>
              <w:pStyle w:val="Compact"/>
              <w:jc w:val="left"/>
            </w:pPr>
            <w:r>
              <w:t xml:space="preserve">Adjusted Free Cash Flow</w:t>
            </w:r>
          </w:p>
        </w:tc>
        <w:tc>
          <w:p>
            <w:pPr>
              <w:pStyle w:val="Compact"/>
              <w:jc w:val="left"/>
            </w:pPr>
            <w:r>
              <w:t xml:space="preserve">$2,466M</w:t>
            </w:r>
          </w:p>
        </w:tc>
        <w:tc>
          <w:p>
            <w:pPr>
              <w:pStyle w:val="Compact"/>
              <w:jc w:val="left"/>
            </w:pPr>
            <w:r>
              <w:t xml:space="preserve">$2,282M</w:t>
            </w:r>
          </w:p>
        </w:tc>
        <w:tc>
          <w:p>
            <w:pPr>
              <w:pStyle w:val="Compact"/>
              <w:jc w:val="left"/>
            </w:pPr>
            <w:r>
              <w:t xml:space="preserve">$1,962M</w:t>
            </w:r>
          </w:p>
        </w:tc>
        <w:tc>
          <w:p>
            <w:pPr>
              <w:pStyle w:val="Compact"/>
              <w:jc w:val="left"/>
            </w:pPr>
            <w:r>
              <w:t xml:space="preserve">[Earnings slides / 10-K]</w:t>
            </w:r>
          </w:p>
        </w:tc>
      </w:tr>
      <w:tr>
        <w:tc>
          <w:p>
            <w:pPr>
              <w:pStyle w:val="Compact"/>
              <w:jc w:val="left"/>
            </w:pPr>
            <w:r>
              <w:t xml:space="preserve">Adj. FCF Margin</w:t>
            </w:r>
          </w:p>
        </w:tc>
        <w:tc>
          <w:p>
            <w:pPr>
              <w:pStyle w:val="Compact"/>
              <w:jc w:val="left"/>
            </w:pPr>
            <w:r>
              <w:t xml:space="preserve">31%</w:t>
            </w:r>
          </w:p>
        </w:tc>
        <w:tc>
          <w:p>
            <w:pPr>
              <w:pStyle w:val="Compact"/>
              <w:jc w:val="left"/>
            </w:pPr>
            <w:r>
              <w:t xml:space="preserve">—</w:t>
            </w:r>
          </w:p>
        </w:tc>
        <w:tc>
          <w:p>
            <w:pPr>
              <w:pStyle w:val="Compact"/>
              <w:jc w:val="left"/>
            </w:pPr>
            <w:r>
              <w:t xml:space="preserve">—</w:t>
            </w:r>
          </w:p>
        </w:tc>
        <w:tc>
          <w:p>
            <w:pPr>
              <w:pStyle w:val="Compact"/>
              <w:jc w:val="left"/>
            </w:pPr>
            <w:r>
              <w:t xml:space="preserve">[Earnings slides]</w:t>
            </w:r>
          </w:p>
        </w:tc>
      </w:tr>
      <w:tr>
        <w:tc>
          <w:p>
            <w:pPr>
              <w:pStyle w:val="Compact"/>
              <w:jc w:val="left"/>
            </w:pPr>
            <w:r>
              <w:t xml:space="preserve">FCF 3-Year CAGR</w:t>
            </w:r>
          </w:p>
        </w:tc>
        <w:tc>
          <w:p>
            <w:pPr>
              <w:pStyle w:val="Compact"/>
              <w:jc w:val="left"/>
            </w:pPr>
            <w:r>
              <w:t xml:space="preserve">18%</w:t>
            </w:r>
          </w:p>
        </w:tc>
        <w:tc>
          <w:p>
            <w:pPr>
              <w:pStyle w:val="Compact"/>
              <w:jc w:val="left"/>
            </w:pPr>
            <w:r>
              <w:t xml:space="preserve">—</w:t>
            </w:r>
          </w:p>
        </w:tc>
        <w:tc>
          <w:p>
            <w:pPr>
              <w:pStyle w:val="Compact"/>
              <w:jc w:val="left"/>
            </w:pPr>
            <w:r>
              <w:t xml:space="preserve">—</w:t>
            </w:r>
          </w:p>
        </w:tc>
        <w:tc>
          <w:p>
            <w:pPr>
              <w:pStyle w:val="Compact"/>
              <w:jc w:val="left"/>
            </w:pPr>
            <w:r>
              <w:t xml:space="preserve">[Earnings slides]</w:t>
            </w:r>
          </w:p>
        </w:tc>
      </w:tr>
      <w:tr>
        <w:tc>
          <w:p>
            <w:pPr>
              <w:pStyle w:val="Compact"/>
              <w:jc w:val="left"/>
            </w:pPr>
            <w:r>
              <w:t xml:space="preserve">OCF/Revenue %</w:t>
            </w:r>
          </w:p>
        </w:tc>
        <w:tc>
          <w:p>
            <w:pPr>
              <w:pStyle w:val="Compact"/>
              <w:jc w:val="left"/>
            </w:pPr>
            <w:r>
              <w:t xml:space="preserve">32.1%</w:t>
            </w:r>
          </w:p>
        </w:tc>
        <w:tc>
          <w:p>
            <w:pPr>
              <w:pStyle w:val="Compact"/>
              <w:jc w:val="left"/>
            </w:pPr>
            <w:r>
              <w:t xml:space="preserve">34.0%</w:t>
            </w:r>
          </w:p>
        </w:tc>
        <w:tc>
          <w:p>
            <w:pPr>
              <w:pStyle w:val="Compact"/>
              <w:jc w:val="left"/>
            </w:pPr>
            <w:r>
              <w:t xml:space="preserve">33.0%</w:t>
            </w:r>
          </w:p>
        </w:tc>
        <w:tc>
          <w:p>
            <w:pPr>
              <w:pStyle w:val="Compact"/>
              <w:jc w:val="left"/>
            </w:pPr>
            <w:r>
              <w:t xml:space="preserve">[Derived]</w:t>
            </w:r>
          </w:p>
        </w:tc>
      </w:tr>
    </w:tbl>
    <w:p>
      <w:pPr>
        <w:pStyle w:val="Heading4"/>
      </w:pPr>
      <w:bookmarkStart w:id="35" w:name="balance-sheet-leverage"/>
      <w:r>
        <w:rPr>
          <w:b/>
        </w:rPr>
        <w:t xml:space="preserve">Balance Sheet &amp; Leverage</w:t>
      </w:r>
      <w:bookmarkEnd w:id="35"/>
    </w:p>
    <w:tbl>
      <w:tblPr>
        <w:tblStyle w:val="Table"/>
        <w:tblW w:type="pct" w:w="0.0"/>
        <w:tblLook w:firstRow="1"/>
      </w:tblPr>
      <w:tblGrid/>
      <w:tr>
        <w:trPr>
          <w:cnfStyle w:firstRow="1"/>
        </w:trPr>
        <w:tc>
          <w:tcPr>
            <w:tcBorders>
              <w:bottom w:val="single"/>
            </w:tcBorders>
            <w:vAlign w:val="bottom"/>
          </w:tcPr>
          <w:p>
            <w:pPr>
              <w:pStyle w:val="Compact"/>
              <w:jc w:val="left"/>
            </w:pPr>
            <w:r>
              <w:t xml:space="preserve">KPI</w:t>
            </w:r>
          </w:p>
        </w:tc>
        <w:tc>
          <w:tcPr>
            <w:tcBorders>
              <w:bottom w:val="single"/>
            </w:tcBorders>
            <w:vAlign w:val="bottom"/>
          </w:tcPr>
          <w:p>
            <w:pPr>
              <w:pStyle w:val="Compact"/>
              <w:jc w:val="left"/>
            </w:pPr>
            <w:r>
              <w:t xml:space="preserve">FY2025 Value</w:t>
            </w:r>
          </w:p>
        </w:tc>
        <w:tc>
          <w:tcPr>
            <w:tcBorders>
              <w:bottom w:val="single"/>
            </w:tcBorders>
            <w:vAlign w:val="bottom"/>
          </w:tcPr>
          <w:p>
            <w:pPr>
              <w:pStyle w:val="Compact"/>
              <w:jc w:val="left"/>
            </w:pPr>
            <w:r>
              <w:t xml:space="preserve">Source</w:t>
            </w:r>
          </w:p>
        </w:tc>
      </w:tr>
      <w:tr>
        <w:tc>
          <w:p>
            <w:pPr>
              <w:pStyle w:val="Compact"/>
              <w:jc w:val="left"/>
            </w:pPr>
            <w:r>
              <w:t xml:space="preserve">Cash &amp; Equivalents</w:t>
            </w:r>
          </w:p>
        </w:tc>
        <w:tc>
          <w:p>
            <w:pPr>
              <w:pStyle w:val="Compact"/>
              <w:jc w:val="left"/>
            </w:pPr>
            <w:r>
              <w:t xml:space="preserve">$297.4M</w:t>
            </w:r>
          </w:p>
        </w:tc>
        <w:tc>
          <w:p>
            <w:pPr>
              <w:pStyle w:val="Compact"/>
              <w:jc w:val="left"/>
            </w:pPr>
            <w:r>
              <w:t xml:space="preserve">[10-K]</w:t>
            </w:r>
          </w:p>
        </w:tc>
      </w:tr>
      <w:tr>
        <w:tc>
          <w:p>
            <w:pPr>
              <w:pStyle w:val="Compact"/>
              <w:jc w:val="left"/>
            </w:pPr>
            <w:r>
              <w:t xml:space="preserve">Accounts Receivable</w:t>
            </w:r>
          </w:p>
        </w:tc>
        <w:tc>
          <w:p>
            <w:pPr>
              <w:pStyle w:val="Compact"/>
              <w:jc w:val="left"/>
            </w:pPr>
            <w:r>
              <w:t xml:space="preserve">$1,001M</w:t>
            </w:r>
          </w:p>
        </w:tc>
        <w:tc>
          <w:p>
            <w:pPr>
              <w:pStyle w:val="Compact"/>
              <w:jc w:val="left"/>
            </w:pPr>
            <w:r>
              <w:t xml:space="preserve">[10-K]</w:t>
            </w:r>
          </w:p>
        </w:tc>
      </w:tr>
      <w:tr>
        <w:tc>
          <w:p>
            <w:pPr>
              <w:pStyle w:val="Compact"/>
              <w:jc w:val="left"/>
            </w:pPr>
            <w:r>
              <w:t xml:space="preserve">Inventory</w:t>
            </w:r>
          </w:p>
        </w:tc>
        <w:tc>
          <w:p>
            <w:pPr>
              <w:pStyle w:val="Compact"/>
              <w:jc w:val="left"/>
            </w:pPr>
            <w:r>
              <w:t xml:space="preserve">$141.7M</w:t>
            </w:r>
          </w:p>
        </w:tc>
        <w:tc>
          <w:p>
            <w:pPr>
              <w:pStyle w:val="Compact"/>
              <w:jc w:val="left"/>
            </w:pPr>
            <w:r>
              <w:t xml:space="preserve">[10-K]</w:t>
            </w:r>
          </w:p>
        </w:tc>
      </w:tr>
      <w:tr>
        <w:tc>
          <w:p>
            <w:pPr>
              <w:pStyle w:val="Compact"/>
              <w:jc w:val="left"/>
            </w:pPr>
            <w:r>
              <w:t xml:space="preserve">Total Current Assets</w:t>
            </w:r>
          </w:p>
        </w:tc>
        <w:tc>
          <w:p>
            <w:pPr>
              <w:pStyle w:val="Compact"/>
              <w:jc w:val="left"/>
            </w:pPr>
            <w:r>
              <w:t xml:space="preserve">$1,928M</w:t>
            </w:r>
          </w:p>
        </w:tc>
        <w:tc>
          <w:p>
            <w:pPr>
              <w:pStyle w:val="Compact"/>
              <w:jc w:val="left"/>
            </w:pPr>
            <w:r>
              <w:t xml:space="preserve">[10-K]</w:t>
            </w:r>
          </w:p>
        </w:tc>
      </w:tr>
      <w:tr>
        <w:tc>
          <w:p>
            <w:pPr>
              <w:pStyle w:val="Compact"/>
              <w:jc w:val="left"/>
            </w:pPr>
            <w:r>
              <w:t xml:space="preserve">Goodwill</w:t>
            </w:r>
          </w:p>
        </w:tc>
        <w:tc>
          <w:p>
            <w:pPr>
              <w:pStyle w:val="Compact"/>
              <w:jc w:val="left"/>
            </w:pPr>
            <w:r>
              <w:t xml:space="preserve">$21,341M</w:t>
            </w:r>
          </w:p>
        </w:tc>
        <w:tc>
          <w:p>
            <w:pPr>
              <w:pStyle w:val="Compact"/>
              <w:jc w:val="left"/>
            </w:pPr>
            <w:r>
              <w:t xml:space="preserve">[10-K]</w:t>
            </w:r>
          </w:p>
        </w:tc>
      </w:tr>
      <w:tr>
        <w:tc>
          <w:p>
            <w:pPr>
              <w:pStyle w:val="Compact"/>
              <w:jc w:val="left"/>
            </w:pPr>
            <w:r>
              <w:t xml:space="preserve">Other Intangible Assets</w:t>
            </w:r>
          </w:p>
        </w:tc>
        <w:tc>
          <w:p>
            <w:pPr>
              <w:pStyle w:val="Compact"/>
              <w:jc w:val="left"/>
            </w:pPr>
            <w:r>
              <w:t xml:space="preserve">$9,764M</w:t>
            </w:r>
          </w:p>
        </w:tc>
        <w:tc>
          <w:p>
            <w:pPr>
              <w:pStyle w:val="Compact"/>
              <w:jc w:val="left"/>
            </w:pPr>
            <w:r>
              <w:t xml:space="preserve">[10-K]</w:t>
            </w:r>
          </w:p>
        </w:tc>
      </w:tr>
      <w:tr>
        <w:tc>
          <w:p>
            <w:pPr>
              <w:pStyle w:val="Compact"/>
              <w:jc w:val="left"/>
            </w:pPr>
            <w:r>
              <w:t xml:space="preserve">Total Assets</w:t>
            </w:r>
          </w:p>
        </w:tc>
        <w:tc>
          <w:p>
            <w:pPr>
              <w:pStyle w:val="Compact"/>
              <w:jc w:val="left"/>
            </w:pPr>
            <w:r>
              <w:t xml:space="preserve">$34,577M</w:t>
            </w:r>
          </w:p>
        </w:tc>
        <w:tc>
          <w:p>
            <w:pPr>
              <w:pStyle w:val="Compact"/>
              <w:jc w:val="left"/>
            </w:pPr>
            <w:r>
              <w:t xml:space="preserve">[10-K]</w:t>
            </w:r>
          </w:p>
        </w:tc>
      </w:tr>
      <w:tr>
        <w:tc>
          <w:p>
            <w:pPr>
              <w:pStyle w:val="Compact"/>
              <w:jc w:val="left"/>
            </w:pPr>
            <w:r>
              <w:t xml:space="preserve">Current Debt (Revolver + Current LTD)</w:t>
            </w:r>
          </w:p>
        </w:tc>
        <w:tc>
          <w:p>
            <w:pPr>
              <w:pStyle w:val="Compact"/>
              <w:jc w:val="left"/>
            </w:pPr>
            <w:r>
              <w:t xml:space="preserve">$1,555M</w:t>
            </w:r>
          </w:p>
        </w:tc>
        <w:tc>
          <w:p>
            <w:pPr>
              <w:pStyle w:val="Compact"/>
              <w:jc w:val="left"/>
            </w:pPr>
            <w:r>
              <w:t xml:space="preserve">[10-K]</w:t>
            </w:r>
          </w:p>
        </w:tc>
      </w:tr>
      <w:tr>
        <w:tc>
          <w:p>
            <w:pPr>
              <w:pStyle w:val="Compact"/>
              <w:jc w:val="left"/>
            </w:pPr>
            <w:r>
              <w:t xml:space="preserve">Long-Term Debt</w:t>
            </w:r>
          </w:p>
        </w:tc>
        <w:tc>
          <w:p>
            <w:pPr>
              <w:pStyle w:val="Compact"/>
              <w:jc w:val="left"/>
            </w:pPr>
            <w:r>
              <w:t xml:space="preserve">$8,596M</w:t>
            </w:r>
          </w:p>
        </w:tc>
        <w:tc>
          <w:p>
            <w:pPr>
              <w:pStyle w:val="Compact"/>
              <w:jc w:val="left"/>
            </w:pPr>
            <w:r>
              <w:t xml:space="preserve">[10-K]</w:t>
            </w:r>
          </w:p>
        </w:tc>
      </w:tr>
      <w:tr>
        <w:tc>
          <w:p>
            <w:pPr>
              <w:pStyle w:val="Compact"/>
              <w:jc w:val="left"/>
            </w:pPr>
            <w:r>
              <w:t xml:space="preserve">Total Debt</w:t>
            </w:r>
          </w:p>
        </w:tc>
        <w:tc>
          <w:p>
            <w:pPr>
              <w:pStyle w:val="Compact"/>
              <w:jc w:val="left"/>
            </w:pPr>
            <w:r>
              <w:t xml:space="preserve">$10,151M</w:t>
            </w:r>
          </w:p>
        </w:tc>
        <w:tc>
          <w:p>
            <w:pPr>
              <w:pStyle w:val="Compact"/>
              <w:jc w:val="left"/>
            </w:pPr>
            <w:r>
              <w:t xml:space="preserve">[10-K]</w:t>
            </w:r>
          </w:p>
        </w:tc>
      </w:tr>
      <w:tr>
        <w:tc>
          <w:p>
            <w:pPr>
              <w:pStyle w:val="Compact"/>
              <w:jc w:val="left"/>
            </w:pPr>
            <w:r>
              <w:t xml:space="preserve">Total Liabilities</w:t>
            </w:r>
          </w:p>
        </w:tc>
        <w:tc>
          <w:p>
            <w:pPr>
              <w:pStyle w:val="Compact"/>
              <w:jc w:val="left"/>
            </w:pPr>
            <w:r>
              <w:t xml:space="preserve">$14,696M</w:t>
            </w:r>
          </w:p>
        </w:tc>
        <w:tc>
          <w:p>
            <w:pPr>
              <w:pStyle w:val="Compact"/>
              <w:jc w:val="left"/>
            </w:pPr>
            <w:r>
              <w:t xml:space="preserve">[10-K]</w:t>
            </w:r>
          </w:p>
        </w:tc>
      </w:tr>
      <w:tr>
        <w:tc>
          <w:p>
            <w:pPr>
              <w:pStyle w:val="Compact"/>
              <w:jc w:val="left"/>
            </w:pPr>
            <w:r>
              <w:t xml:space="preserve">Total Shareholders’ Equity</w:t>
            </w:r>
          </w:p>
        </w:tc>
        <w:tc>
          <w:p>
            <w:pPr>
              <w:pStyle w:val="Compact"/>
              <w:jc w:val="left"/>
            </w:pPr>
            <w:r>
              <w:t xml:space="preserve">$19,882M</w:t>
            </w:r>
          </w:p>
        </w:tc>
        <w:tc>
          <w:p>
            <w:pPr>
              <w:pStyle w:val="Compact"/>
              <w:jc w:val="left"/>
            </w:pPr>
            <w:r>
              <w:t xml:space="preserve">[10-K]</w:t>
            </w:r>
          </w:p>
        </w:tc>
      </w:tr>
      <w:tr>
        <w:tc>
          <w:p>
            <w:pPr>
              <w:pStyle w:val="Compact"/>
              <w:jc w:val="left"/>
            </w:pPr>
            <w:r>
              <w:t xml:space="preserve">Net Debt / Adj. EBITDA</w:t>
            </w:r>
          </w:p>
        </w:tc>
        <w:tc>
          <w:p>
            <w:pPr>
              <w:pStyle w:val="Compact"/>
              <w:jc w:val="left"/>
            </w:pPr>
            <w:r>
              <w:t xml:space="preserve">2.9x</w:t>
            </w:r>
          </w:p>
        </w:tc>
        <w:tc>
          <w:p>
            <w:pPr>
              <w:pStyle w:val="Compact"/>
              <w:jc w:val="left"/>
            </w:pPr>
            <w:r>
              <w:t xml:space="preserve">[Earnings slides]</w:t>
            </w:r>
          </w:p>
        </w:tc>
      </w:tr>
      <w:tr>
        <w:tc>
          <w:p>
            <w:pPr>
              <w:pStyle w:val="Compact"/>
              <w:jc w:val="left"/>
            </w:pPr>
            <w:r>
              <w:t xml:space="preserve">Debt / Capitalization</w:t>
            </w:r>
          </w:p>
        </w:tc>
        <w:tc>
          <w:p>
            <w:pPr>
              <w:pStyle w:val="Compact"/>
              <w:jc w:val="left"/>
            </w:pPr>
            <w:r>
              <w:t xml:space="preserve">33.8%</w:t>
            </w:r>
          </w:p>
        </w:tc>
        <w:tc>
          <w:p>
            <w:pPr>
              <w:pStyle w:val="Compact"/>
              <w:jc w:val="left"/>
            </w:pPr>
            <w:r>
              <w:t xml:space="preserve">[Derived]</w:t>
            </w:r>
          </w:p>
        </w:tc>
      </w:tr>
    </w:tbl>
    <w:p>
      <w:pPr>
        <w:pStyle w:val="Heading4"/>
      </w:pPr>
      <w:bookmarkStart w:id="36" w:name="per-share-metrics"/>
      <w:r>
        <w:rPr>
          <w:b/>
        </w:rPr>
        <w:t xml:space="preserve">Per-Share Metrics</w:t>
      </w:r>
      <w:bookmarkEnd w:id="36"/>
    </w:p>
    <w:tbl>
      <w:tblPr>
        <w:tblStyle w:val="Table"/>
        <w:tblW w:type="pct" w:w="0.0"/>
        <w:tblLook w:firstRow="1"/>
      </w:tblPr>
      <w:tblGrid/>
      <w:tr>
        <w:trPr>
          <w:cnfStyle w:firstRow="1"/>
        </w:trPr>
        <w:tc>
          <w:tcPr>
            <w:tcBorders>
              <w:bottom w:val="single"/>
            </w:tcBorders>
            <w:vAlign w:val="bottom"/>
          </w:tcPr>
          <w:p>
            <w:pPr>
              <w:pStyle w:val="Compact"/>
              <w:jc w:val="left"/>
            </w:pPr>
            <w:r>
              <w:t xml:space="preserve">KPI</w:t>
            </w:r>
          </w:p>
        </w:tc>
        <w:tc>
          <w:tcPr>
            <w:tcBorders>
              <w:bottom w:val="single"/>
            </w:tcBorders>
            <w:vAlign w:val="bottom"/>
          </w:tcPr>
          <w:p>
            <w:pPr>
              <w:pStyle w:val="Compact"/>
              <w:jc w:val="left"/>
            </w:pPr>
            <w:r>
              <w:t xml:space="preserve">FY2025</w:t>
            </w:r>
          </w:p>
        </w:tc>
        <w:tc>
          <w:tcPr>
            <w:tcBorders>
              <w:bottom w:val="single"/>
            </w:tcBorders>
            <w:vAlign w:val="bottom"/>
          </w:tcPr>
          <w:p>
            <w:pPr>
              <w:pStyle w:val="Compact"/>
              <w:jc w:val="left"/>
            </w:pPr>
            <w:r>
              <w:t xml:space="preserve">FY2024</w:t>
            </w:r>
          </w:p>
        </w:tc>
        <w:tc>
          <w:tcPr>
            <w:tcBorders>
              <w:bottom w:val="single"/>
            </w:tcBorders>
            <w:vAlign w:val="bottom"/>
          </w:tcPr>
          <w:p>
            <w:pPr>
              <w:pStyle w:val="Compact"/>
              <w:jc w:val="left"/>
            </w:pPr>
            <w:r>
              <w:t xml:space="preserve">FY2023</w:t>
            </w:r>
          </w:p>
        </w:tc>
        <w:tc>
          <w:tcPr>
            <w:tcBorders>
              <w:bottom w:val="single"/>
            </w:tcBorders>
            <w:vAlign w:val="bottom"/>
          </w:tcPr>
          <w:p>
            <w:pPr>
              <w:pStyle w:val="Compact"/>
              <w:jc w:val="left"/>
            </w:pPr>
            <w:r>
              <w:t xml:space="preserve">Source</w:t>
            </w:r>
          </w:p>
        </w:tc>
      </w:tr>
      <w:tr>
        <w:tc>
          <w:p>
            <w:pPr>
              <w:pStyle w:val="Compact"/>
              <w:jc w:val="left"/>
            </w:pPr>
            <w:r>
              <w:t xml:space="preserve">Diluted Shares Outstanding</w:t>
            </w:r>
          </w:p>
        </w:tc>
        <w:tc>
          <w:p>
            <w:pPr>
              <w:pStyle w:val="Compact"/>
              <w:jc w:val="left"/>
            </w:pPr>
            <w:r>
              <w:t xml:space="preserve">108.2M</w:t>
            </w:r>
          </w:p>
        </w:tc>
        <w:tc>
          <w:p>
            <w:pPr>
              <w:pStyle w:val="Compact"/>
              <w:jc w:val="left"/>
            </w:pPr>
            <w:r>
              <w:t xml:space="preserve">—</w:t>
            </w:r>
          </w:p>
        </w:tc>
        <w:tc>
          <w:p>
            <w:pPr>
              <w:pStyle w:val="Compact"/>
              <w:jc w:val="left"/>
            </w:pPr>
            <w:r>
              <w:t xml:space="preserve">—</w:t>
            </w:r>
          </w:p>
        </w:tc>
        <w:tc>
          <w:p>
            <w:pPr>
              <w:pStyle w:val="Compact"/>
              <w:jc w:val="left"/>
            </w:pPr>
            <w:r>
              <w:t xml:space="preserve">[10-K]</w:t>
            </w:r>
          </w:p>
        </w:tc>
      </w:tr>
      <w:tr>
        <w:tc>
          <w:p>
            <w:pPr>
              <w:pStyle w:val="Compact"/>
              <w:jc w:val="left"/>
            </w:pPr>
            <w:r>
              <w:t xml:space="preserve">Adj. DEPS</w:t>
            </w:r>
          </w:p>
        </w:tc>
        <w:tc>
          <w:p>
            <w:pPr>
              <w:pStyle w:val="Compact"/>
              <w:jc w:val="left"/>
            </w:pPr>
            <w:r>
              <w:t xml:space="preserve">$20.00</w:t>
            </w:r>
          </w:p>
        </w:tc>
        <w:tc>
          <w:p>
            <w:pPr>
              <w:pStyle w:val="Compact"/>
              <w:jc w:val="left"/>
            </w:pPr>
            <w:r>
              <w:t xml:space="preserve">$18.31</w:t>
            </w:r>
          </w:p>
        </w:tc>
        <w:tc>
          <w:p>
            <w:pPr>
              <w:pStyle w:val="Compact"/>
              <w:jc w:val="left"/>
            </w:pPr>
            <w:r>
              <w:t xml:space="preserve">$12.89</w:t>
            </w:r>
          </w:p>
        </w:tc>
        <w:tc>
          <w:p>
            <w:pPr>
              <w:pStyle w:val="Compact"/>
              <w:jc w:val="left"/>
            </w:pPr>
            <w:r>
              <w:t xml:space="preserve">[Earnings slides / 10-K]</w:t>
            </w:r>
          </w:p>
        </w:tc>
      </w:tr>
      <w:tr>
        <w:tc>
          <w:p>
            <w:pPr>
              <w:pStyle w:val="Compact"/>
              <w:jc w:val="left"/>
            </w:pPr>
            <w:r>
              <w:t xml:space="preserve">GAAP EPS (Diluted)</w:t>
            </w:r>
          </w:p>
        </w:tc>
        <w:tc>
          <w:p>
            <w:pPr>
              <w:pStyle w:val="Compact"/>
              <w:jc w:val="left"/>
            </w:pPr>
            <w:r>
              <w:t xml:space="preserve">$14.19</w:t>
            </w:r>
          </w:p>
        </w:tc>
        <w:tc>
          <w:p>
            <w:pPr>
              <w:pStyle w:val="Compact"/>
              <w:jc w:val="left"/>
            </w:pPr>
            <w:r>
              <w:t xml:space="preserve">—</w:t>
            </w:r>
          </w:p>
        </w:tc>
        <w:tc>
          <w:p>
            <w:pPr>
              <w:pStyle w:val="Compact"/>
              <w:jc w:val="left"/>
            </w:pPr>
            <w:r>
              <w:t xml:space="preserve">—</w:t>
            </w:r>
          </w:p>
        </w:tc>
        <w:tc>
          <w:p>
            <w:pPr>
              <w:pStyle w:val="Compact"/>
              <w:jc w:val="left"/>
            </w:pPr>
            <w:r>
              <w:t xml:space="preserve">[Derived: $1,536.3M / 108.2M]</w:t>
            </w:r>
          </w:p>
        </w:tc>
      </w:tr>
      <w:tr>
        <w:tc>
          <w:p>
            <w:pPr>
              <w:pStyle w:val="Compact"/>
              <w:jc w:val="left"/>
            </w:pPr>
            <w:r>
              <w:t xml:space="preserve">Book Value Per Share</w:t>
            </w:r>
          </w:p>
        </w:tc>
        <w:tc>
          <w:p>
            <w:pPr>
              <w:pStyle w:val="Compact"/>
              <w:jc w:val="left"/>
            </w:pPr>
            <w:r>
              <w:t xml:space="preserve">$183.76</w:t>
            </w:r>
          </w:p>
        </w:tc>
        <w:tc>
          <w:p>
            <w:pPr>
              <w:pStyle w:val="Compact"/>
              <w:jc w:val="left"/>
            </w:pPr>
            <w:r>
              <w:t xml:space="preserve">—</w:t>
            </w:r>
          </w:p>
        </w:tc>
        <w:tc>
          <w:p>
            <w:pPr>
              <w:pStyle w:val="Compact"/>
              <w:jc w:val="left"/>
            </w:pPr>
            <w:r>
              <w:t xml:space="preserve">—</w:t>
            </w:r>
          </w:p>
        </w:tc>
        <w:tc>
          <w:p>
            <w:pPr>
              <w:pStyle w:val="Compact"/>
              <w:jc w:val="left"/>
            </w:pPr>
            <w:r>
              <w:t xml:space="preserve">[Derived: $19,882M / 108.2M]</w:t>
            </w:r>
          </w:p>
        </w:tc>
      </w:tr>
    </w:tbl>
    <w:p>
      <w:pPr>
        <w:pStyle w:val="Heading4"/>
      </w:pPr>
      <w:bookmarkStart w:id="37" w:name="capital-deployment-shareholder-returns"/>
      <w:r>
        <w:rPr>
          <w:b/>
        </w:rPr>
        <w:t xml:space="preserve">Capital Deployment &amp; Shareholder Returns</w:t>
      </w:r>
      <w:bookmarkEnd w:id="37"/>
    </w:p>
    <w:tbl>
      <w:tblPr>
        <w:tblStyle w:val="Table"/>
        <w:tblW w:type="pct" w:w="0.0"/>
        <w:tblLook w:firstRow="1"/>
      </w:tblPr>
      <w:tblGrid/>
      <w:tr>
        <w:trPr>
          <w:cnfStyle w:firstRow="1"/>
        </w:trPr>
        <w:tc>
          <w:tcPr>
            <w:tcBorders>
              <w:bottom w:val="single"/>
            </w:tcBorders>
            <w:vAlign w:val="bottom"/>
          </w:tcPr>
          <w:p>
            <w:pPr>
              <w:pStyle w:val="Compact"/>
              <w:jc w:val="left"/>
            </w:pPr>
            <w:r>
              <w:t xml:space="preserve">Metric</w:t>
            </w:r>
          </w:p>
        </w:tc>
        <w:tc>
          <w:tcPr>
            <w:tcBorders>
              <w:bottom w:val="single"/>
            </w:tcBorders>
            <w:vAlign w:val="bottom"/>
          </w:tcPr>
          <w:p>
            <w:pPr>
              <w:pStyle w:val="Compact"/>
              <w:jc w:val="left"/>
            </w:pPr>
            <w:r>
              <w:t xml:space="preserve">FY2025</w:t>
            </w:r>
          </w:p>
        </w:tc>
        <w:tc>
          <w:tcPr>
            <w:tcBorders>
              <w:bottom w:val="single"/>
            </w:tcBorders>
            <w:vAlign w:val="bottom"/>
          </w:tcPr>
          <w:p>
            <w:pPr>
              <w:pStyle w:val="Compact"/>
              <w:jc w:val="left"/>
            </w:pPr>
            <w:r>
              <w:t xml:space="preserve">FY2024</w:t>
            </w:r>
          </w:p>
        </w:tc>
        <w:tc>
          <w:tcPr>
            <w:tcBorders>
              <w:bottom w:val="single"/>
            </w:tcBorders>
            <w:vAlign w:val="bottom"/>
          </w:tcPr>
          <w:p>
            <w:pPr>
              <w:pStyle w:val="Compact"/>
              <w:jc w:val="left"/>
            </w:pPr>
            <w:r>
              <w:t xml:space="preserve">FY2023</w:t>
            </w:r>
          </w:p>
        </w:tc>
        <w:tc>
          <w:tcPr>
            <w:tcBorders>
              <w:bottom w:val="single"/>
            </w:tcBorders>
            <w:vAlign w:val="bottom"/>
          </w:tcPr>
          <w:p>
            <w:pPr>
              <w:pStyle w:val="Compact"/>
              <w:jc w:val="left"/>
            </w:pPr>
            <w:r>
              <w:t xml:space="preserve">Source</w:t>
            </w:r>
          </w:p>
        </w:tc>
      </w:tr>
      <w:tr>
        <w:tc>
          <w:p>
            <w:pPr>
              <w:pStyle w:val="Compact"/>
              <w:jc w:val="left"/>
            </w:pPr>
            <w:r>
              <w:t xml:space="preserve">M&amp;A Deployed (3-yr cumulative)</w:t>
            </w:r>
          </w:p>
        </w:tc>
        <w:tc>
          <w:p>
            <w:pPr>
              <w:pStyle w:val="Compact"/>
              <w:jc w:val="left"/>
            </w:pPr>
            <w:r>
              <w:t xml:space="preserve">~$8.96B</w:t>
            </w:r>
          </w:p>
        </w:tc>
        <w:tc>
          <w:p>
            <w:pPr>
              <w:pStyle w:val="Compact"/>
              <w:jc w:val="left"/>
            </w:pPr>
            <w:r>
              <w:t xml:space="preserve">—</w:t>
            </w:r>
          </w:p>
        </w:tc>
        <w:tc>
          <w:p>
            <w:pPr>
              <w:pStyle w:val="Compact"/>
              <w:jc w:val="left"/>
            </w:pPr>
            <w:r>
              <w:t xml:space="preserve">—</w:t>
            </w:r>
          </w:p>
        </w:tc>
        <w:tc>
          <w:p>
            <w:pPr>
              <w:pStyle w:val="Compact"/>
              <w:jc w:val="left"/>
            </w:pPr>
            <w:r>
              <w:t xml:space="preserve">[Earnings slides]</w:t>
            </w:r>
          </w:p>
        </w:tc>
      </w:tr>
      <w:tr>
        <w:tc>
          <w:p>
            <w:pPr>
              <w:pStyle w:val="Compact"/>
              <w:jc w:val="left"/>
            </w:pPr>
            <w:r>
              <w:t xml:space="preserve">FY2025 M&amp;A Acquisitions</w:t>
            </w:r>
          </w:p>
        </w:tc>
        <w:tc>
          <w:p>
            <w:pPr>
              <w:pStyle w:val="Compact"/>
              <w:jc w:val="left"/>
            </w:pPr>
            <w:r>
              <w:t xml:space="preserve">$3.29B</w:t>
            </w:r>
          </w:p>
        </w:tc>
        <w:tc>
          <w:p>
            <w:pPr>
              <w:pStyle w:val="Compact"/>
              <w:jc w:val="left"/>
            </w:pPr>
            <w:r>
              <w:t xml:space="preserve">—</w:t>
            </w:r>
          </w:p>
        </w:tc>
        <w:tc>
          <w:p>
            <w:pPr>
              <w:pStyle w:val="Compact"/>
              <w:jc w:val="left"/>
            </w:pPr>
            <w:r>
              <w:t xml:space="preserve">—</w:t>
            </w:r>
          </w:p>
        </w:tc>
        <w:tc>
          <w:p>
            <w:pPr>
              <w:pStyle w:val="Compact"/>
              <w:jc w:val="left"/>
            </w:pPr>
            <w:r>
              <w:t xml:space="preserve">[Earnings slides]</w:t>
            </w:r>
          </w:p>
        </w:tc>
      </w:tr>
      <w:tr>
        <w:tc>
          <w:p>
            <w:pPr>
              <w:pStyle w:val="Compact"/>
              <w:jc w:val="left"/>
            </w:pPr>
            <w:r>
              <w:t xml:space="preserve">Share Repurchases</w:t>
            </w:r>
          </w:p>
        </w:tc>
        <w:tc>
          <w:p>
            <w:pPr>
              <w:pStyle w:val="Compact"/>
              <w:jc w:val="left"/>
            </w:pPr>
            <w:r>
              <w:t xml:space="preserve">$500M</w:t>
            </w:r>
          </w:p>
        </w:tc>
        <w:tc>
          <w:p>
            <w:pPr>
              <w:pStyle w:val="Compact"/>
              <w:jc w:val="left"/>
            </w:pPr>
            <w:r>
              <w:t xml:space="preserve">—</w:t>
            </w:r>
          </w:p>
        </w:tc>
        <w:tc>
          <w:p>
            <w:pPr>
              <w:pStyle w:val="Compact"/>
              <w:jc w:val="left"/>
            </w:pPr>
            <w:r>
              <w:t xml:space="preserve">—</w:t>
            </w:r>
          </w:p>
        </w:tc>
        <w:tc>
          <w:p>
            <w:pPr>
              <w:pStyle w:val="Compact"/>
              <w:jc w:val="left"/>
            </w:pPr>
            <w:r>
              <w:t xml:space="preserve">[Earnings slides]</w:t>
            </w:r>
          </w:p>
        </w:tc>
      </w:tr>
      <w:tr>
        <w:tc>
          <w:p>
            <w:pPr>
              <w:pStyle w:val="Compact"/>
              <w:jc w:val="left"/>
            </w:pPr>
            <w:r>
              <w:t xml:space="preserve">Shares Repurchased</w:t>
            </w:r>
          </w:p>
        </w:tc>
        <w:tc>
          <w:p>
            <w:pPr>
              <w:pStyle w:val="Compact"/>
              <w:jc w:val="left"/>
            </w:pPr>
            <w:r>
              <w:t xml:space="preserve">1.12M</w:t>
            </w:r>
          </w:p>
        </w:tc>
        <w:tc>
          <w:p>
            <w:pPr>
              <w:pStyle w:val="Compact"/>
              <w:jc w:val="left"/>
            </w:pPr>
            <w:r>
              <w:t xml:space="preserve">—</w:t>
            </w:r>
          </w:p>
        </w:tc>
        <w:tc>
          <w:p>
            <w:pPr>
              <w:pStyle w:val="Compact"/>
              <w:jc w:val="left"/>
            </w:pPr>
            <w:r>
              <w:t xml:space="preserve">—</w:t>
            </w:r>
          </w:p>
        </w:tc>
        <w:tc>
          <w:p>
            <w:pPr>
              <w:pStyle w:val="Compact"/>
              <w:jc w:val="left"/>
            </w:pPr>
            <w:r>
              <w:t xml:space="preserve">[Earnings slides]</w:t>
            </w:r>
          </w:p>
        </w:tc>
      </w:tr>
      <w:tr>
        <w:tc>
          <w:p>
            <w:pPr>
              <w:pStyle w:val="Compact"/>
              <w:jc w:val="left"/>
            </w:pPr>
            <w:r>
              <w:t xml:space="preserve">Avg. Repurchase Price</w:t>
            </w:r>
          </w:p>
        </w:tc>
        <w:tc>
          <w:p>
            <w:pPr>
              <w:pStyle w:val="Compact"/>
              <w:jc w:val="left"/>
            </w:pPr>
            <w:r>
              <w:t xml:space="preserve">$445.90</w:t>
            </w:r>
          </w:p>
        </w:tc>
        <w:tc>
          <w:p>
            <w:pPr>
              <w:pStyle w:val="Compact"/>
              <w:jc w:val="left"/>
            </w:pPr>
            <w:r>
              <w:t xml:space="preserve">—</w:t>
            </w:r>
          </w:p>
        </w:tc>
        <w:tc>
          <w:p>
            <w:pPr>
              <w:pStyle w:val="Compact"/>
              <w:jc w:val="left"/>
            </w:pPr>
            <w:r>
              <w:t xml:space="preserve">—</w:t>
            </w:r>
          </w:p>
        </w:tc>
        <w:tc>
          <w:p>
            <w:pPr>
              <w:pStyle w:val="Compact"/>
              <w:jc w:val="left"/>
            </w:pPr>
            <w:r>
              <w:t xml:space="preserve">[Derived]</w:t>
            </w:r>
          </w:p>
        </w:tc>
      </w:tr>
      <w:tr>
        <w:tc>
          <w:p>
            <w:pPr>
              <w:pStyle w:val="Compact"/>
              <w:jc w:val="left"/>
            </w:pPr>
            <w:r>
              <w:t xml:space="preserve">Share Repurchase Authorization (Oct 2025)</w:t>
            </w:r>
          </w:p>
        </w:tc>
        <w:tc>
          <w:p>
            <w:pPr>
              <w:pStyle w:val="Compact"/>
              <w:jc w:val="left"/>
            </w:pPr>
            <w:r>
              <w:t xml:space="preserve">$3.0B</w:t>
            </w:r>
          </w:p>
        </w:tc>
        <w:tc>
          <w:p>
            <w:pPr>
              <w:pStyle w:val="Compact"/>
              <w:jc w:val="left"/>
            </w:pPr>
            <w:r>
              <w:t xml:space="preserve">—</w:t>
            </w:r>
          </w:p>
        </w:tc>
        <w:tc>
          <w:p>
            <w:pPr>
              <w:pStyle w:val="Compact"/>
              <w:jc w:val="left"/>
            </w:pPr>
            <w:r>
              <w:t xml:space="preserve">—</w:t>
            </w:r>
          </w:p>
        </w:tc>
        <w:tc>
          <w:p>
            <w:pPr>
              <w:pStyle w:val="Compact"/>
              <w:jc w:val="left"/>
            </w:pPr>
            <w:r>
              <w:t xml:space="preserve">[Earnings slides]</w:t>
            </w:r>
          </w:p>
        </w:tc>
      </w:tr>
      <w:tr>
        <w:tc>
          <w:p>
            <w:pPr>
              <w:pStyle w:val="Compact"/>
              <w:jc w:val="left"/>
            </w:pPr>
            <w:r>
              <w:t xml:space="preserve">Remaining Authorization</w:t>
            </w:r>
          </w:p>
        </w:tc>
        <w:tc>
          <w:p>
            <w:pPr>
              <w:pStyle w:val="Compact"/>
              <w:jc w:val="left"/>
            </w:pPr>
            <w:r>
              <w:t xml:space="preserve">$2.5B</w:t>
            </w:r>
          </w:p>
        </w:tc>
        <w:tc>
          <w:p>
            <w:pPr>
              <w:pStyle w:val="Compact"/>
              <w:jc w:val="left"/>
            </w:pPr>
            <w:r>
              <w:t xml:space="preserve">—</w:t>
            </w:r>
          </w:p>
        </w:tc>
        <w:tc>
          <w:p>
            <w:pPr>
              <w:pStyle w:val="Compact"/>
              <w:jc w:val="left"/>
            </w:pPr>
            <w:r>
              <w:t xml:space="preserve">—</w:t>
            </w:r>
          </w:p>
        </w:tc>
        <w:tc>
          <w:p>
            <w:pPr>
              <w:pStyle w:val="Compact"/>
              <w:jc w:val="left"/>
            </w:pPr>
            <w:r>
              <w:t xml:space="preserve">[Earnings slides]</w:t>
            </w:r>
          </w:p>
        </w:tc>
      </w:tr>
      <w:tr>
        <w:tc>
          <w:p>
            <w:pPr>
              <w:pStyle w:val="Compact"/>
              <w:jc w:val="left"/>
            </w:pPr>
            <w:r>
              <w:t xml:space="preserve">Quarterly Dividend</w:t>
            </w:r>
          </w:p>
        </w:tc>
        <w:tc>
          <w:p>
            <w:pPr>
              <w:pStyle w:val="Compact"/>
              <w:jc w:val="left"/>
            </w:pPr>
            <w:r>
              <w:t xml:space="preserve">$0.91/share</w:t>
            </w:r>
          </w:p>
        </w:tc>
        <w:tc>
          <w:p>
            <w:pPr>
              <w:pStyle w:val="Compact"/>
              <w:jc w:val="left"/>
            </w:pPr>
            <w:r>
              <w:t xml:space="preserve">—</w:t>
            </w:r>
          </w:p>
        </w:tc>
        <w:tc>
          <w:p>
            <w:pPr>
              <w:pStyle w:val="Compact"/>
              <w:jc w:val="left"/>
            </w:pPr>
            <w:r>
              <w:t xml:space="preserve">—</w:t>
            </w:r>
          </w:p>
        </w:tc>
        <w:tc>
          <w:p>
            <w:pPr>
              <w:pStyle w:val="Compact"/>
              <w:jc w:val="left"/>
            </w:pPr>
            <w:r>
              <w:t xml:space="preserve">[Earnings slides]</w:t>
            </w:r>
          </w:p>
        </w:tc>
      </w:tr>
      <w:tr>
        <w:tc>
          <w:p>
            <w:pPr>
              <w:pStyle w:val="Compact"/>
              <w:jc w:val="left"/>
            </w:pPr>
            <w:r>
              <w:t xml:space="preserve">Dividend Increase (Nov 2025)</w:t>
            </w:r>
          </w:p>
        </w:tc>
        <w:tc>
          <w:p>
            <w:pPr>
              <w:pStyle w:val="Compact"/>
              <w:jc w:val="left"/>
            </w:pPr>
            <w:r>
              <w:t xml:space="preserve">+10%</w:t>
            </w:r>
          </w:p>
        </w:tc>
        <w:tc>
          <w:p>
            <w:pPr>
              <w:pStyle w:val="Compact"/>
              <w:jc w:val="left"/>
            </w:pPr>
            <w:r>
              <w:t xml:space="preserve">—</w:t>
            </w:r>
          </w:p>
        </w:tc>
        <w:tc>
          <w:p>
            <w:pPr>
              <w:pStyle w:val="Compact"/>
              <w:jc w:val="left"/>
            </w:pPr>
            <w:r>
              <w:t xml:space="preserve">—</w:t>
            </w:r>
          </w:p>
        </w:tc>
        <w:tc>
          <w:p>
            <w:pPr>
              <w:pStyle w:val="Compact"/>
              <w:jc w:val="left"/>
            </w:pPr>
            <w:r>
              <w:t xml:space="preserve">[Earnings slides]</w:t>
            </w:r>
          </w:p>
        </w:tc>
      </w:tr>
      <w:tr>
        <w:tc>
          <w:p>
            <w:pPr>
              <w:pStyle w:val="Compact"/>
              <w:jc w:val="left"/>
            </w:pPr>
            <w:r>
              <w:t xml:space="preserve">Consecutive Annual Dividend Increases</w:t>
            </w:r>
          </w:p>
        </w:tc>
        <w:tc>
          <w:p>
            <w:pPr>
              <w:pStyle w:val="Compact"/>
              <w:jc w:val="left"/>
            </w:pPr>
            <w:r>
              <w:t xml:space="preserve">33 years</w:t>
            </w:r>
          </w:p>
        </w:tc>
        <w:tc>
          <w:p>
            <w:pPr>
              <w:pStyle w:val="Compact"/>
              <w:jc w:val="left"/>
            </w:pPr>
            <w:r>
              <w:t xml:space="preserve">—</w:t>
            </w:r>
          </w:p>
        </w:tc>
        <w:tc>
          <w:p>
            <w:pPr>
              <w:pStyle w:val="Compact"/>
              <w:jc w:val="left"/>
            </w:pPr>
            <w:r>
              <w:t xml:space="preserve">—</w:t>
            </w:r>
          </w:p>
        </w:tc>
        <w:tc>
          <w:p>
            <w:pPr>
              <w:pStyle w:val="Compact"/>
              <w:jc w:val="left"/>
            </w:pPr>
            <w:r>
              <w:t xml:space="preserve">[Earnings slides]</w:t>
            </w:r>
          </w:p>
        </w:tc>
      </w:tr>
      <w:tr>
        <w:tc>
          <w:p>
            <w:pPr>
              <w:pStyle w:val="Compact"/>
              <w:jc w:val="left"/>
            </w:pPr>
            <w:r>
              <w:t xml:space="preserve">Revolver Credit Facility</w:t>
            </w:r>
          </w:p>
        </w:tc>
        <w:tc>
          <w:p>
            <w:pPr>
              <w:pStyle w:val="Compact"/>
              <w:jc w:val="left"/>
            </w:pPr>
            <w:r>
              <w:t xml:space="preserve">$3.5B</w:t>
            </w:r>
          </w:p>
        </w:tc>
        <w:tc>
          <w:p>
            <w:pPr>
              <w:pStyle w:val="Compact"/>
              <w:jc w:val="left"/>
            </w:pPr>
            <w:r>
              <w:t xml:space="preserve">—</w:t>
            </w:r>
          </w:p>
        </w:tc>
        <w:tc>
          <w:p>
            <w:pPr>
              <w:pStyle w:val="Compact"/>
              <w:jc w:val="left"/>
            </w:pPr>
            <w:r>
              <w:t xml:space="preserve">—</w:t>
            </w:r>
          </w:p>
        </w:tc>
        <w:tc>
          <w:p>
            <w:pPr>
              <w:pStyle w:val="Compact"/>
              <w:jc w:val="left"/>
            </w:pPr>
            <w:r>
              <w:t xml:space="preserve">[10-K]</w:t>
            </w:r>
          </w:p>
        </w:tc>
      </w:tr>
      <w:tr>
        <w:tc>
          <w:p>
            <w:pPr>
              <w:pStyle w:val="Compact"/>
              <w:jc w:val="left"/>
            </w:pPr>
            <w:r>
              <w:t xml:space="preserve">Undrawn Revolver</w:t>
            </w:r>
          </w:p>
        </w:tc>
        <w:tc>
          <w:p>
            <w:pPr>
              <w:pStyle w:val="Compact"/>
              <w:jc w:val="left"/>
            </w:pPr>
            <w:r>
              <w:t xml:space="preserve">~$2.65B</w:t>
            </w:r>
          </w:p>
        </w:tc>
        <w:tc>
          <w:p>
            <w:pPr>
              <w:pStyle w:val="Compact"/>
              <w:jc w:val="left"/>
            </w:pPr>
            <w:r>
              <w:t xml:space="preserve">—</w:t>
            </w:r>
          </w:p>
        </w:tc>
        <w:tc>
          <w:p>
            <w:pPr>
              <w:pStyle w:val="Compact"/>
              <w:jc w:val="left"/>
            </w:pPr>
            <w:r>
              <w:t xml:space="preserve">—</w:t>
            </w:r>
          </w:p>
        </w:tc>
        <w:tc>
          <w:p>
            <w:pPr>
              <w:pStyle w:val="Compact"/>
              <w:jc w:val="left"/>
            </w:pPr>
            <w:r>
              <w:t xml:space="preserve">[Derived: $3.5B - $850M]</w:t>
            </w:r>
          </w:p>
        </w:tc>
      </w:tr>
    </w:tbl>
    <w:p>
      <w:pPr>
        <w:pStyle w:val="Heading4"/>
      </w:pPr>
      <w:bookmarkStart w:id="38" w:name="Xfaf2da4a6c7aaab18068bfd150365f81ef0f34e"/>
      <w:r>
        <w:rPr>
          <w:b/>
        </w:rPr>
        <w:t xml:space="preserve">Stock-Based Compensation &amp; Intangible Asset Depreciation</w:t>
      </w:r>
      <w:bookmarkEnd w:id="38"/>
    </w:p>
    <w:tbl>
      <w:tblPr>
        <w:tblStyle w:val="Table"/>
        <w:tblW w:type="pct" w:w="0.0"/>
        <w:tblLook w:firstRow="1"/>
      </w:tblPr>
      <w:tblGrid/>
      <w:tr>
        <w:trPr>
          <w:cnfStyle w:firstRow="1"/>
        </w:trPr>
        <w:tc>
          <w:tcPr>
            <w:tcBorders>
              <w:bottom w:val="single"/>
            </w:tcBorders>
            <w:vAlign w:val="bottom"/>
          </w:tcPr>
          <w:p>
            <w:pPr>
              <w:pStyle w:val="Compact"/>
              <w:jc w:val="left"/>
            </w:pPr>
            <w:r>
              <w:t xml:space="preserve">KPI</w:t>
            </w:r>
          </w:p>
        </w:tc>
        <w:tc>
          <w:tcPr>
            <w:tcBorders>
              <w:bottom w:val="single"/>
            </w:tcBorders>
            <w:vAlign w:val="bottom"/>
          </w:tcPr>
          <w:p>
            <w:pPr>
              <w:pStyle w:val="Compact"/>
              <w:jc w:val="left"/>
            </w:pPr>
            <w:r>
              <w:t xml:space="preserve">FY2025</w:t>
            </w:r>
          </w:p>
        </w:tc>
        <w:tc>
          <w:tcPr>
            <w:tcBorders>
              <w:bottom w:val="single"/>
            </w:tcBorders>
            <w:vAlign w:val="bottom"/>
          </w:tcPr>
          <w:p>
            <w:pPr>
              <w:pStyle w:val="Compact"/>
              <w:jc w:val="left"/>
            </w:pPr>
            <w:r>
              <w:t xml:space="preserve">FY2024</w:t>
            </w:r>
          </w:p>
        </w:tc>
        <w:tc>
          <w:tcPr>
            <w:tcBorders>
              <w:bottom w:val="single"/>
            </w:tcBorders>
            <w:vAlign w:val="bottom"/>
          </w:tcPr>
          <w:p>
            <w:pPr>
              <w:pStyle w:val="Compact"/>
              <w:jc w:val="left"/>
            </w:pPr>
            <w:r>
              <w:t xml:space="preserve">FY2023</w:t>
            </w:r>
          </w:p>
        </w:tc>
        <w:tc>
          <w:tcPr>
            <w:tcBorders>
              <w:bottom w:val="single"/>
            </w:tcBorders>
            <w:vAlign w:val="bottom"/>
          </w:tcPr>
          <w:p>
            <w:pPr>
              <w:pStyle w:val="Compact"/>
              <w:jc w:val="left"/>
            </w:pPr>
            <w:r>
              <w:t xml:space="preserve">FY2022</w:t>
            </w:r>
          </w:p>
        </w:tc>
        <w:tc>
          <w:tcPr>
            <w:tcBorders>
              <w:bottom w:val="single"/>
            </w:tcBorders>
            <w:vAlign w:val="bottom"/>
          </w:tcPr>
          <w:p>
            <w:pPr>
              <w:pStyle w:val="Compact"/>
              <w:jc w:val="left"/>
            </w:pPr>
            <w:r>
              <w:t xml:space="preserve">Source</w:t>
            </w:r>
          </w:p>
        </w:tc>
      </w:tr>
      <w:tr>
        <w:tc>
          <w:p>
            <w:pPr>
              <w:pStyle w:val="Compact"/>
              <w:jc w:val="left"/>
            </w:pPr>
            <w:r>
              <w:t xml:space="preserve">Stock-Based Comp (SBC)</w:t>
            </w:r>
          </w:p>
        </w:tc>
        <w:tc>
          <w:p>
            <w:pPr>
              <w:pStyle w:val="Compact"/>
              <w:jc w:val="left"/>
            </w:pPr>
            <w:r>
              <w:t xml:space="preserve">$166.3M</w:t>
            </w:r>
          </w:p>
        </w:tc>
        <w:tc>
          <w:p>
            <w:pPr>
              <w:pStyle w:val="Compact"/>
              <w:jc w:val="left"/>
            </w:pPr>
            <w:r>
              <w:t xml:space="preserve">$145.9M</w:t>
            </w:r>
          </w:p>
        </w:tc>
        <w:tc>
          <w:p>
            <w:pPr>
              <w:pStyle w:val="Compact"/>
              <w:jc w:val="left"/>
            </w:pPr>
            <w:r>
              <w:t xml:space="preserve">$123.5M</w:t>
            </w:r>
          </w:p>
        </w:tc>
        <w:tc>
          <w:p>
            <w:pPr>
              <w:pStyle w:val="Compact"/>
              <w:jc w:val="left"/>
            </w:pPr>
            <w:r>
              <w:t xml:space="preserve">$118.5M</w:t>
            </w:r>
          </w:p>
        </w:tc>
        <w:tc>
          <w:p>
            <w:pPr>
              <w:pStyle w:val="Compact"/>
              <w:jc w:val="left"/>
            </w:pPr>
            <w:r>
              <w:t xml:space="preserve">[10-K]</w:t>
            </w:r>
          </w:p>
        </w:tc>
      </w:tr>
      <w:tr>
        <w:tc>
          <w:p>
            <w:pPr>
              <w:pStyle w:val="Compact"/>
              <w:jc w:val="left"/>
            </w:pPr>
            <w:r>
              <w:t xml:space="preserve">Amortization of Acquired Intangibles</w:t>
            </w:r>
          </w:p>
        </w:tc>
        <w:tc>
          <w:p>
            <w:pPr>
              <w:pStyle w:val="Compact"/>
              <w:jc w:val="left"/>
            </w:pPr>
            <w:r>
              <w:t xml:space="preserve">$858.4M</w:t>
            </w:r>
          </w:p>
        </w:tc>
        <w:tc>
          <w:p>
            <w:pPr>
              <w:pStyle w:val="Compact"/>
              <w:jc w:val="left"/>
            </w:pPr>
            <w:r>
              <w:t xml:space="preserve">$775.7M</w:t>
            </w:r>
          </w:p>
        </w:tc>
        <w:tc>
          <w:p>
            <w:pPr>
              <w:pStyle w:val="Compact"/>
              <w:jc w:val="left"/>
            </w:pPr>
            <w:r>
              <w:t xml:space="preserve">$719.8M</w:t>
            </w:r>
          </w:p>
        </w:tc>
        <w:tc>
          <w:p>
            <w:pPr>
              <w:pStyle w:val="Compact"/>
              <w:jc w:val="left"/>
            </w:pPr>
            <w:r>
              <w:t xml:space="preserve">—</w:t>
            </w:r>
          </w:p>
        </w:tc>
        <w:tc>
          <w:p>
            <w:pPr>
              <w:pStyle w:val="Compact"/>
              <w:jc w:val="left"/>
            </w:pPr>
            <w:r>
              <w:t xml:space="preserve">[10-K]</w:t>
            </w:r>
          </w:p>
        </w:tc>
      </w:tr>
      <w:tr>
        <w:tc>
          <w:p>
            <w:pPr>
              <w:pStyle w:val="Compact"/>
              <w:jc w:val="left"/>
            </w:pPr>
            <w:r>
              <w:t xml:space="preserve">SBC as % of Revenue</w:t>
            </w:r>
          </w:p>
        </w:tc>
        <w:tc>
          <w:p>
            <w:pPr>
              <w:pStyle w:val="Compact"/>
              <w:jc w:val="left"/>
            </w:pPr>
            <w:r>
              <w:t xml:space="preserve">2.1%</w:t>
            </w:r>
          </w:p>
        </w:tc>
        <w:tc>
          <w:p>
            <w:pPr>
              <w:pStyle w:val="Compact"/>
              <w:jc w:val="left"/>
            </w:pPr>
            <w:r>
              <w:t xml:space="preserve">2.1%</w:t>
            </w:r>
          </w:p>
        </w:tc>
        <w:tc>
          <w:p>
            <w:pPr>
              <w:pStyle w:val="Compact"/>
              <w:jc w:val="left"/>
            </w:pPr>
            <w:r>
              <w:t xml:space="preserve">2.0%</w:t>
            </w:r>
          </w:p>
        </w:tc>
        <w:tc>
          <w:p>
            <w:pPr>
              <w:pStyle w:val="Compact"/>
              <w:jc w:val="left"/>
            </w:pPr>
            <w:r>
              <w:t xml:space="preserve">—</w:t>
            </w:r>
          </w:p>
        </w:tc>
        <w:tc>
          <w:p>
            <w:pPr>
              <w:pStyle w:val="Compact"/>
              <w:jc w:val="left"/>
            </w:pPr>
            <w:r>
              <w:t xml:space="preserve">[Derived]</w:t>
            </w:r>
          </w:p>
        </w:tc>
      </w:tr>
    </w:tbl>
    <w:p>
      <w:pPr>
        <w:pStyle w:val="Heading4"/>
      </w:pPr>
      <w:bookmarkStart w:id="39" w:name="forward-guidance-assumptions-fy2026"/>
      <w:r>
        <w:rPr>
          <w:b/>
        </w:rPr>
        <w:t xml:space="preserve">Forward Guidance &amp; Assumptions (FY2026)</w:t>
      </w:r>
      <w:bookmarkEnd w:id="39"/>
    </w:p>
    <w:tbl>
      <w:tblPr>
        <w:tblStyle w:val="Table"/>
        <w:tblW w:type="pct" w:w="5000.0"/>
        <w:tblLook w:firstRow="1"/>
      </w:tblPr>
      <w:tblGrid>
        <w:gridCol w:w="1920"/>
        <w:gridCol w:w="4080"/>
        <w:gridCol w:w="1920"/>
      </w:tblGrid>
      <w:tr>
        <w:trPr>
          <w:cnfStyle w:firstRow="1"/>
        </w:trPr>
        <w:tc>
          <w:tcPr>
            <w:tcBorders>
              <w:bottom w:val="single"/>
            </w:tcBorders>
            <w:vAlign w:val="bottom"/>
          </w:tcPr>
          <w:p>
            <w:pPr>
              <w:pStyle w:val="Compact"/>
              <w:jc w:val="left"/>
            </w:pPr>
            <w:r>
              <w:t xml:space="preserve">Metric</w:t>
            </w:r>
          </w:p>
        </w:tc>
        <w:tc>
          <w:tcPr>
            <w:tcBorders>
              <w:bottom w:val="single"/>
            </w:tcBorders>
            <w:vAlign w:val="bottom"/>
          </w:tcPr>
          <w:p>
            <w:pPr>
              <w:pStyle w:val="Compact"/>
              <w:jc w:val="left"/>
            </w:pPr>
            <w:r>
              <w:t xml:space="preserve">FY2026 Guidance</w:t>
            </w:r>
          </w:p>
        </w:tc>
        <w:tc>
          <w:tcPr>
            <w:tcBorders>
              <w:bottom w:val="single"/>
            </w:tcBorders>
            <w:vAlign w:val="bottom"/>
          </w:tcPr>
          <w:p>
            <w:pPr>
              <w:pStyle w:val="Compact"/>
              <w:jc w:val="left"/>
            </w:pPr>
            <w:r>
              <w:t xml:space="preserve">Source</w:t>
            </w:r>
          </w:p>
        </w:tc>
      </w:tr>
      <w:tr>
        <w:tc>
          <w:p>
            <w:pPr>
              <w:pStyle w:val="Compact"/>
              <w:jc w:val="left"/>
            </w:pPr>
            <w:r>
              <w:t xml:space="preserve">Revenue Growth</w:t>
            </w:r>
          </w:p>
        </w:tc>
        <w:tc>
          <w:p>
            <w:pPr>
              <w:pStyle w:val="Compact"/>
              <w:jc w:val="left"/>
            </w:pPr>
            <w:r>
              <w:t xml:space="preserve">~8%</w:t>
            </w:r>
          </w:p>
        </w:tc>
        <w:tc>
          <w:p>
            <w:pPr>
              <w:pStyle w:val="Compact"/>
              <w:jc w:val="left"/>
            </w:pPr>
            <w:r>
              <w:t xml:space="preserve">[Q4 2025 Earnings Call]</w:t>
            </w:r>
          </w:p>
        </w:tc>
      </w:tr>
      <w:tr>
        <w:tc>
          <w:p>
            <w:pPr>
              <w:pStyle w:val="Compact"/>
              <w:jc w:val="left"/>
            </w:pPr>
            <w:r>
              <w:t xml:space="preserve">Organic Revenue Growth</w:t>
            </w:r>
          </w:p>
        </w:tc>
        <w:tc>
          <w:p>
            <w:pPr>
              <w:pStyle w:val="Compact"/>
              <w:jc w:val="left"/>
            </w:pPr>
            <w:r>
              <w:t xml:space="preserve">+5%–+6%</w:t>
            </w:r>
          </w:p>
        </w:tc>
        <w:tc>
          <w:p>
            <w:pPr>
              <w:pStyle w:val="Compact"/>
              <w:jc w:val="left"/>
            </w:pPr>
            <w:r>
              <w:t xml:space="preserve">[Q4 2025 Earnings Call]</w:t>
            </w:r>
          </w:p>
        </w:tc>
      </w:tr>
      <w:tr>
        <w:tc>
          <w:p>
            <w:pPr>
              <w:pStyle w:val="Compact"/>
              <w:jc w:val="left"/>
            </w:pPr>
            <w:r>
              <w:t xml:space="preserve">Adj. DEPS</w:t>
            </w:r>
          </w:p>
        </w:tc>
        <w:tc>
          <w:p>
            <w:pPr>
              <w:pStyle w:val="Compact"/>
              <w:jc w:val="left"/>
            </w:pPr>
            <w:r>
              <w:t xml:space="preserve">$21.30–$21.55</w:t>
            </w:r>
          </w:p>
        </w:tc>
        <w:tc>
          <w:p>
            <w:pPr>
              <w:pStyle w:val="Compact"/>
              <w:jc w:val="left"/>
            </w:pPr>
            <w:r>
              <w:t xml:space="preserve">[Q4 2025 Earnings Call]</w:t>
            </w:r>
          </w:p>
        </w:tc>
      </w:tr>
      <w:tr>
        <w:tc>
          <w:p>
            <w:pPr>
              <w:pStyle w:val="Compact"/>
              <w:jc w:val="left"/>
            </w:pPr>
            <w:r>
              <w:t xml:space="preserve">Q1 2026 DEPS (midpoint)</w:t>
            </w:r>
          </w:p>
        </w:tc>
        <w:tc>
          <w:p>
            <w:pPr>
              <w:pStyle w:val="Compact"/>
              <w:jc w:val="left"/>
            </w:pPr>
            <w:r>
              <w:t xml:space="preserve">$4.975</w:t>
            </w:r>
          </w:p>
        </w:tc>
        <w:tc>
          <w:p>
            <w:pPr>
              <w:pStyle w:val="Compact"/>
              <w:jc w:val="left"/>
            </w:pPr>
            <w:r>
              <w:t xml:space="preserve">[Q4 2025 Earnings Call]</w:t>
            </w:r>
          </w:p>
        </w:tc>
      </w:tr>
      <w:tr>
        <w:tc>
          <w:p>
            <w:pPr>
              <w:pStyle w:val="Compact"/>
              <w:jc w:val="left"/>
            </w:pPr>
            <w:r>
              <w:t xml:space="preserve">Effective Tax Rate</w:t>
            </w:r>
          </w:p>
        </w:tc>
        <w:tc>
          <w:p>
            <w:pPr>
              <w:pStyle w:val="Compact"/>
              <w:jc w:val="left"/>
            </w:pPr>
            <w:r>
              <w:t xml:space="preserve">~21%–22%</w:t>
            </w:r>
          </w:p>
        </w:tc>
        <w:tc>
          <w:p>
            <w:pPr>
              <w:pStyle w:val="Compact"/>
              <w:jc w:val="left"/>
            </w:pPr>
            <w:r>
              <w:t xml:space="preserve">[Q4 2025 Earnings Call]</w:t>
            </w:r>
          </w:p>
        </w:tc>
      </w:tr>
      <w:tr>
        <w:tc>
          <w:p>
            <w:pPr>
              <w:pStyle w:val="Compact"/>
              <w:jc w:val="left"/>
            </w:pPr>
            <w:r>
              <w:rPr>
                <w:b/>
              </w:rPr>
              <w:t xml:space="preserve">Key Guidance Assumptions:</w:t>
            </w:r>
          </w:p>
        </w:tc>
        <w:tc>
          <w:p/>
        </w:tc>
        <w:tc>
          <w:p/>
        </w:tc>
      </w:tr>
      <w:tr>
        <w:tc>
          <w:p>
            <w:pPr>
              <w:pStyle w:val="Compact"/>
              <w:jc w:val="left"/>
            </w:pPr>
            <w:r>
              <w:t xml:space="preserve">— Deltek GovCon improvement</w:t>
            </w:r>
          </w:p>
        </w:tc>
        <w:tc>
          <w:p>
            <w:pPr>
              <w:pStyle w:val="Compact"/>
              <w:jc w:val="left"/>
            </w:pPr>
            <w:r>
              <w:t xml:space="preserve">Not included</w:t>
            </w:r>
          </w:p>
        </w:tc>
        <w:tc>
          <w:p>
            <w:pPr>
              <w:pStyle w:val="Compact"/>
              <w:jc w:val="left"/>
            </w:pPr>
            <w:r>
              <w:t xml:space="preserve">[Q4 2025 Call commentary]</w:t>
            </w:r>
          </w:p>
        </w:tc>
      </w:tr>
      <w:tr>
        <w:tc>
          <w:p>
            <w:pPr>
              <w:pStyle w:val="Compact"/>
              <w:jc w:val="left"/>
            </w:pPr>
            <w:r>
              <w:t xml:space="preserve">— DAT freight market recovery</w:t>
            </w:r>
          </w:p>
        </w:tc>
        <w:tc>
          <w:p>
            <w:pPr>
              <w:pStyle w:val="Compact"/>
              <w:jc w:val="left"/>
            </w:pPr>
            <w:r>
              <w:t xml:space="preserve">Not included</w:t>
            </w:r>
          </w:p>
        </w:tc>
        <w:tc>
          <w:p>
            <w:pPr>
              <w:pStyle w:val="Compact"/>
              <w:jc w:val="left"/>
            </w:pPr>
            <w:r>
              <w:t xml:space="preserve">[Q4 2025 Call commentary]</w:t>
            </w:r>
          </w:p>
        </w:tc>
      </w:tr>
      <w:tr>
        <w:tc>
          <w:p>
            <w:pPr>
              <w:pStyle w:val="Compact"/>
              <w:jc w:val="left"/>
            </w:pPr>
            <w:r>
              <w:t xml:space="preserve">— Neptune decline</w:t>
            </w:r>
          </w:p>
        </w:tc>
        <w:tc>
          <w:p>
            <w:pPr>
              <w:pStyle w:val="Compact"/>
              <w:jc w:val="left"/>
            </w:pPr>
            <w:r>
              <w:t xml:space="preserve">Modest</w:t>
            </w:r>
          </w:p>
        </w:tc>
        <w:tc>
          <w:p>
            <w:pPr>
              <w:pStyle w:val="Compact"/>
              <w:jc w:val="left"/>
            </w:pPr>
            <w:r>
              <w:t xml:space="preserve">[Q4 2025 Call commentary]</w:t>
            </w:r>
          </w:p>
        </w:tc>
      </w:tr>
      <w:tr>
        <w:tc>
          <w:p>
            <w:pPr>
              <w:pStyle w:val="Compact"/>
              <w:jc w:val="left"/>
            </w:pPr>
            <w:r>
              <w:t xml:space="preserve">— AI revenue uplift</w:t>
            </w:r>
          </w:p>
        </w:tc>
        <w:tc>
          <w:p>
            <w:pPr>
              <w:pStyle w:val="Compact"/>
              <w:jc w:val="left"/>
            </w:pPr>
            <w:r>
              <w:t xml:space="preserve">Not included</w:t>
            </w:r>
          </w:p>
        </w:tc>
        <w:tc>
          <w:p>
            <w:pPr>
              <w:pStyle w:val="Compact"/>
              <w:jc w:val="left"/>
            </w:pPr>
            <w:r>
              <w:t xml:space="preserve">[Q4 2025 Call commentary]</w:t>
            </w:r>
          </w:p>
        </w:tc>
      </w:tr>
      <w:tr>
        <w:tc>
          <w:p>
            <w:pPr>
              <w:pStyle w:val="Compact"/>
              <w:jc w:val="left"/>
            </w:pPr>
            <w:r>
              <w:t xml:space="preserve">Long-term organic growth (management view)</w:t>
            </w:r>
          </w:p>
        </w:tc>
        <w:tc>
          <w:p>
            <w:pPr>
              <w:pStyle w:val="Compact"/>
              <w:jc w:val="left"/>
            </w:pPr>
            <w:r>
              <w:t xml:space="preserve">North of 8%</w:t>
            </w:r>
          </w:p>
        </w:tc>
        <w:tc>
          <w:p>
            <w:pPr>
              <w:pStyle w:val="Compact"/>
              <w:jc w:val="left"/>
            </w:pPr>
            <w:r>
              <w:t xml:space="preserve">[Q4 2025 Call commentary]</w:t>
            </w:r>
          </w:p>
        </w:tc>
      </w:tr>
    </w:tbl>
    <w:p>
      <w:r>
        <w:pict>
          <v:rect style="width:0;height:1.5pt" o:hralign="center" o:hrstd="t" o:hr="t"/>
        </w:pict>
      </w:r>
    </w:p>
    <w:p>
      <w:pPr>
        <w:pStyle w:val="Heading2"/>
      </w:pPr>
      <w:bookmarkStart w:id="40" w:name="X4be67781a6fa85ecbef1a5d92d626c31d53f614"/>
      <w:r>
        <w:t xml:space="preserve">SECTION 1: BUSINESS MODEL — THE CAUSAL ARCHITECTURE</w:t>
      </w:r>
      <w:bookmarkEnd w:id="40"/>
    </w:p>
    <w:p>
      <w:pPr>
        <w:pStyle w:val="Heading3"/>
      </w:pPr>
      <w:bookmarkStart w:id="41" w:name="X9d09646e50fc1e62f405a908cbd883fa4676dcd"/>
      <w:r>
        <w:t xml:space="preserve">1A. Strategic Pivots and Transformation Narrative</w:t>
      </w:r>
      <w:bookmarkEnd w:id="41"/>
    </w:p>
    <w:p>
      <w:pPr>
        <w:pStyle w:val="FirstParagraph"/>
      </w:pPr>
      <w:r>
        <w:t xml:space="preserve">ROP’s business model evolution follows five major strategic inflection points spanning 44 years:</w:t>
      </w:r>
    </w:p>
    <w:p>
      <w:pPr>
        <w:pStyle w:val="Heading4"/>
      </w:pPr>
      <w:bookmarkStart w:id="42" w:name="X6a7afcf464d92c244fec1e7ca65b18b351b5412"/>
      <w:r>
        <w:rPr>
          <w:b/>
        </w:rPr>
        <w:t xml:space="preserve">Pivot 1: Industrial Conglomerate → Software Dominance (1981–2018)</w:t>
      </w:r>
      <w:bookmarkEnd w:id="42"/>
    </w:p>
    <w:p>
      <w:pPr>
        <w:pStyle w:val="FirstParagraph"/>
      </w:pPr>
      <w:r>
        <w:t xml:space="preserve">ROP was founded in 1981 as a diversified industrial/pump manufacturer. Through the 1990s–2010s, it acquired and divested across industrial, energy, and applied industrial segments (UltraPure Water Technologies, etc.). The company remained structurally mixed: ~40–50% industrial/products, ~50–60% software/services by 2015.</w:t>
      </w:r>
    </w:p>
    <w:p>
      <w:pPr>
        <w:pStyle w:val="BodyText"/>
      </w:pPr>
      <w:r>
        <w:rPr>
          <w:b/>
        </w:rPr>
        <w:t xml:space="preserve">Catalyst for Shift:</w:t>
      </w:r>
      <w:r>
        <w:t xml:space="preserve"> </w:t>
      </w:r>
      <w:r>
        <w:t xml:space="preserve">CEO Brian Jellison (appointed 2004) and then-CFO Todd M. Cione recognized that software and SaaS platforms commanded higher multiples, recurring revenue, and margin profiles. The company began aggressively acquiring niche software players: Deltek (2006, government ERP), Foundry (2014, VFX), ConstructConnect (2015), DAT (2015, freight), iPipeline (2015, insurance), and others.</w:t>
      </w:r>
    </w:p>
    <w:p>
      <w:pPr>
        <w:pStyle w:val="BodyText"/>
      </w:pPr>
      <w:r>
        <w:rPr>
          <w:b/>
        </w:rPr>
        <w:t xml:space="preserve">Result by 2018:</w:t>
      </w:r>
      <w:r>
        <w:t xml:space="preserve"> </w:t>
      </w:r>
      <w:r>
        <w:t xml:space="preserve">Software represented 65%+ of EBITDA; the business had materially shifted toward recurring, high-margin workflows.</w:t>
      </w:r>
    </w:p>
    <w:p>
      <w:pPr>
        <w:pStyle w:val="BodyText"/>
      </w:pPr>
      <w:r>
        <w:t xml:space="preserve">[Source: Historical 10-K filings, SEC archives, management commentary.]</w:t>
      </w:r>
    </w:p>
    <w:p>
      <w:pPr>
        <w:pStyle w:val="Heading4"/>
      </w:pPr>
      <w:bookmarkStart w:id="43" w:name="X510539061f39c4f5d7f63fb25c5062eec0a7360"/>
      <w:r>
        <w:rPr>
          <w:b/>
        </w:rPr>
        <w:t xml:space="preserve">Pivot 2: Acceleration Under Neil Hunn and Pure-Play Crystallization (2018–2022)</w:t>
      </w:r>
      <w:bookmarkEnd w:id="43"/>
    </w:p>
    <w:p>
      <w:pPr>
        <w:pStyle w:val="FirstParagraph"/>
      </w:pPr>
      <w:r>
        <w:t xml:space="preserve">Neil Hunn assumed the CEO role in August 2018. His strategy doubled down on the software transformation:</w:t>
      </w:r>
      <w:r>
        <w:t xml:space="preserve"> </w:t>
      </w:r>
      <w:r>
        <w:t xml:space="preserve">- Acquisition pace accelerated: Vertafore (2018), Strata/Syntellis (2023 merger, integration planning begun in 2021), Procare (Feb 2024).</w:t>
      </w:r>
      <w:r>
        <w:t xml:space="preserve"> </w:t>
      </w:r>
      <w:r>
        <w:t xml:space="preserve">- Industrial/product businesses (water meters, pumps, ultrasound) remained but were repositioned as</w:t>
      </w:r>
      <w:r>
        <w:t xml:space="preserve"> </w:t>
      </w:r>
      <w:r>
        <w:rPr>
          <w:i/>
        </w:rPr>
        <w:t xml:space="preserve">Technology Enabled Products</w:t>
      </w:r>
      <w:r>
        <w:t xml:space="preserve"> </w:t>
      </w:r>
      <w:r>
        <w:t xml:space="preserve">rather than core conglomerate assets.</w:t>
      </w:r>
      <w:r>
        <w:t xml:space="preserve"> </w:t>
      </w:r>
      <w:r>
        <w:t xml:space="preserve">- Management messaging shifted explicitly to</w:t>
      </w:r>
      <w:r>
        <w:t xml:space="preserve"> </w:t>
      </w:r>
      <w:r>
        <w:t xml:space="preserve">“</w:t>
      </w:r>
      <w:r>
        <w:t xml:space="preserve">software-centric platform</w:t>
      </w:r>
      <w:r>
        <w:t xml:space="preserve">”</w:t>
      </w:r>
      <w:r>
        <w:t xml:space="preserve"> </w:t>
      </w:r>
      <w:r>
        <w:t xml:space="preserve">language.</w:t>
      </w:r>
    </w:p>
    <w:p>
      <w:pPr>
        <w:pStyle w:val="BodyText"/>
      </w:pPr>
      <w:r>
        <w:rPr>
          <w:b/>
        </w:rPr>
        <w:t xml:space="preserve">Inflection Point:</w:t>
      </w:r>
      <w:r>
        <w:t xml:space="preserve"> </w:t>
      </w:r>
      <w:r>
        <w:t xml:space="preserve">November 2022 Indicor Divestiture to Clayton Dubilier &amp; Rice (CD&amp;R). ROP divested its majority stake in Indicor (industrial/applied products portfolio including precision motion, waterworks, niche industrial). Importantly, ROP retained a minority stake to participate in upside. The divestiture crystallized the pure-play software/technology thesis and raised ~$1.1B in net proceeds.</w:t>
      </w:r>
    </w:p>
    <w:p>
      <w:pPr>
        <w:pStyle w:val="BodyText"/>
      </w:pPr>
      <w:r>
        <w:rPr>
          <w:b/>
        </w:rPr>
        <w:t xml:space="preserve">Financial Impact:</w:t>
      </w:r>
      <w:r>
        <w:t xml:space="preserve"> </w:t>
      </w:r>
      <w:r>
        <w:t xml:space="preserve">Indicor divestiture removed lower-margin, lower-growth industrial assets; post-divestiture, software + technology-enabled products represented 100% of consolidated revenue and margin profiles improved.</w:t>
      </w:r>
    </w:p>
    <w:p>
      <w:pPr>
        <w:pStyle w:val="BodyText"/>
      </w:pPr>
      <w:r>
        <w:t xml:space="preserve">[Source: Nov 2022 8-K/10-K filings, Q4 2022 Earnings Call transcript.]</w:t>
      </w:r>
    </w:p>
    <w:p>
      <w:pPr>
        <w:pStyle w:val="Heading4"/>
      </w:pPr>
      <w:bookmarkStart w:id="44" w:name="Xb2fb76a04139b7113974565cfaa38de46615c47"/>
      <w:r>
        <w:rPr>
          <w:b/>
        </w:rPr>
        <w:t xml:space="preserve">Pivot 3: Aggressive M&amp;A Acceleration and Scale-Up (2023–2025)</w:t>
      </w:r>
      <w:bookmarkEnd w:id="44"/>
    </w:p>
    <w:p>
      <w:pPr>
        <w:pStyle w:val="FirstParagraph"/>
      </w:pPr>
      <w:r>
        <w:t xml:space="preserve">Following the Indicor divestiture, ROP deployed capital with remarkable velocity:</w:t>
      </w:r>
    </w:p>
    <w:p>
      <w:pPr>
        <w:pStyle w:val="BodyText"/>
      </w:pPr>
      <w:r>
        <w:rPr>
          <w:b/>
        </w:rPr>
        <w:t xml:space="preserve">Major Acquisitions:</w:t>
      </w:r>
      <w:r>
        <w:t xml:space="preserve"> </w:t>
      </w:r>
      <w:r>
        <w:t xml:space="preserve">-</w:t>
      </w:r>
      <w:r>
        <w:t xml:space="preserve"> </w:t>
      </w:r>
      <w:r>
        <w:rPr>
          <w:b/>
        </w:rPr>
        <w:t xml:space="preserve">Aug 2023:</w:t>
      </w:r>
      <w:r>
        <w:t xml:space="preserve"> </w:t>
      </w:r>
      <w:r>
        <w:t xml:space="preserve">Syntellis (healthcare financial analytics) merged with existing Strata platform; combined platform ~$1.38B acquisition value.</w:t>
      </w:r>
      <w:r>
        <w:t xml:space="preserve"> </w:t>
      </w:r>
      <w:r>
        <w:t xml:space="preserve">-</w:t>
      </w:r>
      <w:r>
        <w:t xml:space="preserve"> </w:t>
      </w:r>
      <w:r>
        <w:rPr>
          <w:b/>
        </w:rPr>
        <w:t xml:space="preserve">Feb 2024:</w:t>
      </w:r>
      <w:r>
        <w:t xml:space="preserve"> </w:t>
      </w:r>
      <w:r>
        <w:t xml:space="preserve">Procare (childcare SaaS) ~$1.86B; market leader in segment.</w:t>
      </w:r>
      <w:r>
        <w:t xml:space="preserve"> </w:t>
      </w:r>
      <w:r>
        <w:t xml:space="preserve">-</w:t>
      </w:r>
      <w:r>
        <w:t xml:space="preserve"> </w:t>
      </w:r>
      <w:r>
        <w:rPr>
          <w:b/>
        </w:rPr>
        <w:t xml:space="preserve">Aug 2024:</w:t>
      </w:r>
      <w:r>
        <w:t xml:space="preserve"> </w:t>
      </w:r>
      <w:r>
        <w:t xml:space="preserve">Transact (campus solutions) merged with CBORD/Illumia ecosystem; ~$1.6B.</w:t>
      </w:r>
      <w:r>
        <w:t xml:space="preserve"> </w:t>
      </w:r>
      <w:r>
        <w:t xml:space="preserve">-</w:t>
      </w:r>
      <w:r>
        <w:t xml:space="preserve"> </w:t>
      </w:r>
      <w:r>
        <w:rPr>
          <w:b/>
        </w:rPr>
        <w:t xml:space="preserve">Apr 2025:</w:t>
      </w:r>
      <w:r>
        <w:t xml:space="preserve"> </w:t>
      </w:r>
      <w:r>
        <w:t xml:space="preserve">CentralReach (ABA therapy SaaS) ~$1.85B; largest deal in period.</w:t>
      </w:r>
      <w:r>
        <w:t xml:space="preserve"> </w:t>
      </w:r>
      <w:r>
        <w:t xml:space="preserve">-</w:t>
      </w:r>
      <w:r>
        <w:t xml:space="preserve"> </w:t>
      </w:r>
      <w:r>
        <w:rPr>
          <w:b/>
        </w:rPr>
        <w:t xml:space="preserve">Jul 2025:</w:t>
      </w:r>
      <w:r>
        <w:t xml:space="preserve"> </w:t>
      </w:r>
      <w:r>
        <w:t xml:space="preserve">Subsplash (faith-based SaaS) ~$800M.</w:t>
      </w:r>
      <w:r>
        <w:t xml:space="preserve"> </w:t>
      </w:r>
      <w:r>
        <w:t xml:space="preserve">-</w:t>
      </w:r>
      <w:r>
        <w:t xml:space="preserve"> </w:t>
      </w:r>
      <w:r>
        <w:rPr>
          <w:b/>
        </w:rPr>
        <w:t xml:space="preserve">Bolt-ons:</w:t>
      </w:r>
      <w:r>
        <w:t xml:space="preserve"> </w:t>
      </w:r>
      <w:r>
        <w:t xml:space="preserve">~$1.47B in smaller acquisitions (2023–2025).</w:t>
      </w:r>
    </w:p>
    <w:p>
      <w:pPr>
        <w:pStyle w:val="BodyText"/>
      </w:pPr>
      <w:r>
        <w:rPr>
          <w:b/>
        </w:rPr>
        <w:t xml:space="preserve">3-Year Cumulative M&amp;A:</w:t>
      </w:r>
      <w:r>
        <w:t xml:space="preserve"> </w:t>
      </w:r>
      <w:r>
        <w:t xml:space="preserve">~$8.96B deployed [Earnings slides, Q4 2025 call].</w:t>
      </w:r>
    </w:p>
    <w:p>
      <w:pPr>
        <w:pStyle w:val="BodyText"/>
      </w:pPr>
      <w:r>
        <w:rPr>
          <w:b/>
        </w:rPr>
        <w:t xml:space="preserve">Strategic Thesis:</w:t>
      </w:r>
      <w:r>
        <w:t xml:space="preserve"> </w:t>
      </w:r>
      <w:r>
        <w:t xml:space="preserve">Each acquisition targets:</w:t>
      </w:r>
      <w:r>
        <w:t xml:space="preserve"> </w:t>
      </w:r>
      <w:r>
        <w:t xml:space="preserve">1. Vertical niches with high switching costs and network defensibility (legal, ABA therapy, K–12, childcare, faith communities).</w:t>
      </w:r>
      <w:r>
        <w:t xml:space="preserve"> </w:t>
      </w:r>
      <w:r>
        <w:t xml:space="preserve">2. Recurring/subscription revenue bases (80%+ recurrence targets).</w:t>
      </w:r>
      <w:r>
        <w:t xml:space="preserve"> </w:t>
      </w:r>
      <w:r>
        <w:t xml:space="preserve">3. Modest organic growth (4–6%) + operational upside via ROP’s platform integration and cost synergies.</w:t>
      </w:r>
      <w:r>
        <w:t xml:space="preserve"> </w:t>
      </w:r>
      <w:r>
        <w:t xml:space="preserve">4. Mission-critical workflow embededness (practice management, SaaS compliance, financial analytics).</w:t>
      </w:r>
    </w:p>
    <w:p>
      <w:pPr>
        <w:pStyle w:val="BodyText"/>
      </w:pPr>
      <w:r>
        <w:rPr>
          <w:b/>
        </w:rPr>
        <w:t xml:space="preserve">Organic + Inorganic Growth Attribution (FY2025):</w:t>
      </w:r>
      <w:r>
        <w:t xml:space="preserve"> </w:t>
      </w:r>
      <w:r>
        <w:t xml:space="preserve">- Application Software: +5% organic, +10% M&amp;A = +15% total [Earnings slides].</w:t>
      </w:r>
      <w:r>
        <w:t xml:space="preserve"> </w:t>
      </w:r>
      <w:r>
        <w:t xml:space="preserve">- Network Software: +4% organic, +4% M&amp;A = +8% total [Earnings slides].</w:t>
      </w:r>
      <w:r>
        <w:t xml:space="preserve"> </w:t>
      </w:r>
      <w:r>
        <w:t xml:space="preserve">- Technology Products: +6% organic, 0% M&amp;A = +6% total [Earnings slides].</w:t>
      </w:r>
    </w:p>
    <w:p>
      <w:pPr>
        <w:pStyle w:val="BodyText"/>
      </w:pPr>
      <w:r>
        <w:t xml:space="preserve">[Source: Q4 2025 Earnings slides, 10-K filings for FY2024–FY2025.]</w:t>
      </w:r>
    </w:p>
    <w:p>
      <w:pPr>
        <w:pStyle w:val="Heading4"/>
      </w:pPr>
      <w:bookmarkStart w:id="45" w:name="X7d84fecfdb17d6dd9e21fe6a3fa72fcb1275132"/>
      <w:r>
        <w:rPr>
          <w:b/>
        </w:rPr>
        <w:t xml:space="preserve">Pivot 4: Capital Return Initiation (Oct 2025 onwards)</w:t>
      </w:r>
      <w:bookmarkEnd w:id="45"/>
    </w:p>
    <w:p>
      <w:pPr>
        <w:pStyle w:val="FirstParagraph"/>
      </w:pPr>
      <w:r>
        <w:t xml:space="preserve">For ~25 years (2000–2025), ROP was primarily growth-reinvestment focused: retained earnings fueled M&amp;A, and dividends were modest (~0.40–0.70 per share). In October 2025, the board approved a</w:t>
      </w:r>
      <w:r>
        <w:t xml:space="preserve"> </w:t>
      </w:r>
      <w:r>
        <w:rPr>
          <w:b/>
        </w:rPr>
        <w:t xml:space="preserve">$3.0B share repurchase authorization</w:t>
      </w:r>
      <w:r>
        <w:t xml:space="preserve"> </w:t>
      </w:r>
      <w:r>
        <w:t xml:space="preserve">and</w:t>
      </w:r>
      <w:r>
        <w:t xml:space="preserve"> </w:t>
      </w:r>
      <w:r>
        <w:rPr>
          <w:b/>
        </w:rPr>
        <w:t xml:space="preserve">increased quarterly dividend by 10%</w:t>
      </w:r>
      <w:r>
        <w:t xml:space="preserve"> </w:t>
      </w:r>
      <w:r>
        <w:t xml:space="preserve">(to $0.91/share, the 33rd consecutive annual increase) [Earnings slides, Q4 2025 call].</w:t>
      </w:r>
    </w:p>
    <w:p>
      <w:pPr>
        <w:pStyle w:val="BodyText"/>
      </w:pPr>
      <w:r>
        <w:rPr>
          <w:b/>
        </w:rPr>
        <w:t xml:space="preserve">Rationale (per management):</w:t>
      </w:r>
      <w:r>
        <w:t xml:space="preserve"> </w:t>
      </w:r>
      <w:r>
        <w:t xml:space="preserve">- Valuation at ~26–28x DEPS (mid-2025) still attractive vs. historical range and growth profile.</w:t>
      </w:r>
      <w:r>
        <w:t xml:space="preserve"> </w:t>
      </w:r>
      <w:r>
        <w:t xml:space="preserve">- Balance sheet strength (2.9x net debt/EBITDA) permits capital return while funding ongoing M&amp;A at 3–4B/year run rate.</w:t>
      </w:r>
      <w:r>
        <w:t xml:space="preserve"> </w:t>
      </w:r>
      <w:r>
        <w:t xml:space="preserve">- Shareholder return policy shift signals confidence in organic growth durability and competitive moats.</w:t>
      </w:r>
    </w:p>
    <w:p>
      <w:pPr>
        <w:pStyle w:val="BodyText"/>
      </w:pPr>
      <w:r>
        <w:rPr>
          <w:b/>
        </w:rPr>
        <w:t xml:space="preserve">FY2025 Action:</w:t>
      </w:r>
      <w:r>
        <w:t xml:space="preserve"> </w:t>
      </w:r>
      <w:r>
        <w:t xml:space="preserve">$500M repurchased; 1.12M shares at avg. $445.90 [Earnings slides].</w:t>
      </w:r>
    </w:p>
    <w:p>
      <w:pPr>
        <w:pStyle w:val="BodyText"/>
      </w:pPr>
      <w:r>
        <w:t xml:space="preserve">[Source: Oct 2025 8-K/press release, Q4 2025 Earnings Call.]</w:t>
      </w:r>
    </w:p>
    <w:p>
      <w:pPr>
        <w:pStyle w:val="Heading4"/>
      </w:pPr>
      <w:bookmarkStart w:id="46" w:name="Xe8e6231941da029f5d6eb969904e5e55657b161"/>
      <w:r>
        <w:rPr>
          <w:b/>
        </w:rPr>
        <w:t xml:space="preserve">Pivot 5: AI Product Development and Embedded Workflows (2024–2025)</w:t>
      </w:r>
      <w:bookmarkEnd w:id="46"/>
    </w:p>
    <w:p>
      <w:pPr>
        <w:pStyle w:val="FirstParagraph"/>
      </w:pPr>
      <w:r>
        <w:t xml:space="preserve">Management has articulated a strategic shift toward AI as embedded capability within existing workflows, not as standalone tools.</w:t>
      </w:r>
    </w:p>
    <w:p>
      <w:pPr>
        <w:pStyle w:val="BodyText"/>
      </w:pPr>
      <w:r>
        <w:rPr>
          <w:b/>
        </w:rPr>
        <w:t xml:space="preserve">Key Management Commentary (Q4 2025 Call):</w:t>
      </w:r>
      <w:r>
        <w:t xml:space="preserve"> </w:t>
      </w:r>
      <w:r>
        <w:t xml:space="preserve">-</w:t>
      </w:r>
      <w:r>
        <w:t xml:space="preserve"> </w:t>
      </w:r>
      <w:r>
        <w:t xml:space="preserve">“</w:t>
      </w:r>
      <w:r>
        <w:t xml:space="preserve">AI is embedded in workflows, not a generic overlay.</w:t>
      </w:r>
      <w:r>
        <w:t xml:space="preserve">”</w:t>
      </w:r>
      <w:r>
        <w:t xml:space="preserve"> </w:t>
      </w:r>
      <w:r>
        <w:t xml:space="preserve">Management hired an AI accelerator team (Shane Luke, Eddie Raffaele) in late 2024/early 2025.</w:t>
      </w:r>
      <w:r>
        <w:t xml:space="preserve"> </w:t>
      </w:r>
      <w:r>
        <w:t xml:space="preserve">- Guidance for FY2026</w:t>
      </w:r>
      <w:r>
        <w:t xml:space="preserve"> </w:t>
      </w:r>
      <w:r>
        <w:rPr>
          <w:b/>
        </w:rPr>
        <w:t xml:space="preserve">explicitly excludes</w:t>
      </w:r>
      <w:r>
        <w:t xml:space="preserve"> </w:t>
      </w:r>
      <w:r>
        <w:t xml:space="preserve">any AI revenue uplift, signaling caution on near-term monetization but suggesting longer-term R&amp;D focus.</w:t>
      </w:r>
      <w:r>
        <w:t xml:space="preserve"> </w:t>
      </w:r>
      <w:r>
        <w:t xml:space="preserve">- Expected to roll out AI-enhanced features across Deltek, Procare, CentralReach, and DAT platforms in 2026–2027.</w:t>
      </w:r>
    </w:p>
    <w:p>
      <w:pPr>
        <w:pStyle w:val="BodyText"/>
      </w:pPr>
      <w:r>
        <w:t xml:space="preserve">[Source: Q4 2025 Earnings Call transcript, management commentary.]</w:t>
      </w:r>
    </w:p>
    <w:p>
      <w:r>
        <w:pict>
          <v:rect style="width:0;height:1.5pt" o:hralign="center" o:hrstd="t" o:hr="t"/>
        </w:pict>
      </w:r>
    </w:p>
    <w:p>
      <w:pPr>
        <w:pStyle w:val="Heading3"/>
      </w:pPr>
      <w:bookmarkStart w:id="47" w:name="X44a3ae97efd580bb8eb66945b128cef7fbf9636"/>
      <w:r>
        <w:t xml:space="preserve">1B. Segment Mini-P&amp;Ls and Recurring Revenue Architecture</w:t>
      </w:r>
      <w:bookmarkEnd w:id="47"/>
    </w:p>
    <w:p>
      <w:pPr>
        <w:pStyle w:val="Heading4"/>
      </w:pPr>
      <w:bookmarkStart w:id="48" w:name="X583f9cc68abcdc96adb3abba69f989f3d731e2a"/>
      <w:r>
        <w:rPr>
          <w:b/>
        </w:rPr>
        <w:t xml:space="preserve">Application Software Segment (56.7% of Revenue)</w:t>
      </w:r>
      <w:bookmarkEnd w:id="48"/>
    </w:p>
    <w:tbl>
      <w:tblPr>
        <w:tblStyle w:val="Table"/>
        <w:tblW w:type="pct" w:w="0.0"/>
        <w:tblLook w:firstRow="1"/>
      </w:tblPr>
      <w:tblGrid/>
      <w:tr>
        <w:trPr>
          <w:cnfStyle w:firstRow="1"/>
        </w:trPr>
        <w:tc>
          <w:tcPr>
            <w:tcBorders>
              <w:bottom w:val="single"/>
            </w:tcBorders>
            <w:vAlign w:val="bottom"/>
          </w:tcPr>
          <w:p>
            <w:pPr>
              <w:pStyle w:val="Compact"/>
              <w:jc w:val="left"/>
            </w:pPr>
            <w:r>
              <w:t xml:space="preserve">Metric</w:t>
            </w:r>
          </w:p>
        </w:tc>
        <w:tc>
          <w:tcPr>
            <w:tcBorders>
              <w:bottom w:val="single"/>
            </w:tcBorders>
            <w:vAlign w:val="bottom"/>
          </w:tcPr>
          <w:p>
            <w:pPr>
              <w:pStyle w:val="Compact"/>
              <w:jc w:val="left"/>
            </w:pPr>
            <w:r>
              <w:t xml:space="preserve">FY2025</w:t>
            </w:r>
          </w:p>
        </w:tc>
        <w:tc>
          <w:tcPr>
            <w:tcBorders>
              <w:bottom w:val="single"/>
            </w:tcBorders>
            <w:vAlign w:val="bottom"/>
          </w:tcPr>
          <w:p>
            <w:pPr>
              <w:pStyle w:val="Compact"/>
              <w:jc w:val="left"/>
            </w:pPr>
            <w:r>
              <w:t xml:space="preserve">FY2024</w:t>
            </w:r>
          </w:p>
        </w:tc>
        <w:tc>
          <w:tcPr>
            <w:tcBorders>
              <w:bottom w:val="single"/>
            </w:tcBorders>
            <w:vAlign w:val="bottom"/>
          </w:tcPr>
          <w:p>
            <w:pPr>
              <w:pStyle w:val="Compact"/>
              <w:jc w:val="left"/>
            </w:pPr>
            <w:r>
              <w:t xml:space="preserve">Growth</w:t>
            </w:r>
          </w:p>
        </w:tc>
      </w:tr>
      <w:tr>
        <w:tc>
          <w:p>
            <w:pPr>
              <w:pStyle w:val="Compact"/>
              <w:jc w:val="left"/>
            </w:pPr>
            <w:r>
              <w:t xml:space="preserve">Revenue</w:t>
            </w:r>
          </w:p>
        </w:tc>
        <w:tc>
          <w:p>
            <w:pPr>
              <w:pStyle w:val="Compact"/>
              <w:jc w:val="left"/>
            </w:pPr>
            <w:r>
              <w:t xml:space="preserve">$4,483M</w:t>
            </w:r>
          </w:p>
        </w:tc>
        <w:tc>
          <w:p>
            <w:pPr>
              <w:pStyle w:val="Compact"/>
              <w:jc w:val="left"/>
            </w:pPr>
            <w:r>
              <w:t xml:space="preserve">—</w:t>
            </w:r>
          </w:p>
        </w:tc>
        <w:tc>
          <w:p>
            <w:pPr>
              <w:pStyle w:val="Compact"/>
              <w:jc w:val="left"/>
            </w:pPr>
            <w:r>
              <w:t xml:space="preserve">+15% (est.)</w:t>
            </w:r>
          </w:p>
        </w:tc>
      </w:tr>
      <w:tr>
        <w:tc>
          <w:p>
            <w:pPr>
              <w:pStyle w:val="Compact"/>
              <w:jc w:val="left"/>
            </w:pPr>
            <w:r>
              <w:t xml:space="preserve">Adj. EBITDA</w:t>
            </w:r>
          </w:p>
        </w:tc>
        <w:tc>
          <w:p>
            <w:pPr>
              <w:pStyle w:val="Compact"/>
              <w:jc w:val="left"/>
            </w:pPr>
            <w:r>
              <w:t xml:space="preserve">$1,905M</w:t>
            </w:r>
          </w:p>
        </w:tc>
        <w:tc>
          <w:p>
            <w:pPr>
              <w:pStyle w:val="Compact"/>
              <w:jc w:val="left"/>
            </w:pPr>
            <w:r>
              <w:t xml:space="preserve">—</w:t>
            </w:r>
          </w:p>
        </w:tc>
        <w:tc>
          <w:p>
            <w:pPr>
              <w:pStyle w:val="Compact"/>
              <w:jc w:val="left"/>
            </w:pPr>
            <w:r>
              <w:t xml:space="preserve">—</w:t>
            </w:r>
          </w:p>
        </w:tc>
      </w:tr>
      <w:tr>
        <w:tc>
          <w:p>
            <w:pPr>
              <w:pStyle w:val="Compact"/>
              <w:jc w:val="left"/>
            </w:pPr>
            <w:r>
              <w:t xml:space="preserve">EBITDA Margin %</w:t>
            </w:r>
          </w:p>
        </w:tc>
        <w:tc>
          <w:p>
            <w:pPr>
              <w:pStyle w:val="Compact"/>
              <w:jc w:val="left"/>
            </w:pPr>
            <w:r>
              <w:t xml:space="preserve">42.5%</w:t>
            </w:r>
          </w:p>
        </w:tc>
        <w:tc>
          <w:p>
            <w:pPr>
              <w:pStyle w:val="Compact"/>
              <w:jc w:val="left"/>
            </w:pPr>
            <w:r>
              <w:t xml:space="preserve">—</w:t>
            </w:r>
          </w:p>
        </w:tc>
        <w:tc>
          <w:p>
            <w:pPr>
              <w:pStyle w:val="Compact"/>
              <w:jc w:val="left"/>
            </w:pPr>
            <w:r>
              <w:t xml:space="preserve">—</w:t>
            </w:r>
          </w:p>
        </w:tc>
      </w:tr>
      <w:tr>
        <w:tc>
          <w:p>
            <w:pPr>
              <w:pStyle w:val="Compact"/>
              <w:jc w:val="left"/>
            </w:pPr>
            <w:r>
              <w:t xml:space="preserve">Organic Revenue Growth</w:t>
            </w:r>
          </w:p>
        </w:tc>
        <w:tc>
          <w:p>
            <w:pPr>
              <w:pStyle w:val="Compact"/>
              <w:jc w:val="left"/>
            </w:pPr>
            <w:r>
              <w:t xml:space="preserve">+5%</w:t>
            </w:r>
          </w:p>
        </w:tc>
        <w:tc>
          <w:p>
            <w:pPr>
              <w:pStyle w:val="Compact"/>
              <w:jc w:val="left"/>
            </w:pPr>
            <w:r>
              <w:t xml:space="preserve">—</w:t>
            </w:r>
          </w:p>
        </w:tc>
        <w:tc>
          <w:p>
            <w:pPr>
              <w:pStyle w:val="Compact"/>
              <w:jc w:val="left"/>
            </w:pPr>
            <w:r>
              <w:t xml:space="preserve">—</w:t>
            </w:r>
          </w:p>
        </w:tc>
      </w:tr>
      <w:tr>
        <w:tc>
          <w:p>
            <w:pPr>
              <w:pStyle w:val="Compact"/>
              <w:jc w:val="left"/>
            </w:pPr>
            <w:r>
              <w:t xml:space="preserve">M&amp;A Revenue Growth</w:t>
            </w:r>
          </w:p>
        </w:tc>
        <w:tc>
          <w:p>
            <w:pPr>
              <w:pStyle w:val="Compact"/>
              <w:jc w:val="left"/>
            </w:pPr>
            <w:r>
              <w:t xml:space="preserve">+10%</w:t>
            </w:r>
          </w:p>
        </w:tc>
        <w:tc>
          <w:p>
            <w:pPr>
              <w:pStyle w:val="Compact"/>
              <w:jc w:val="left"/>
            </w:pPr>
            <w:r>
              <w:t xml:space="preserve">—</w:t>
            </w:r>
          </w:p>
        </w:tc>
        <w:tc>
          <w:p>
            <w:pPr>
              <w:pStyle w:val="Compact"/>
              <w:jc w:val="left"/>
            </w:pPr>
            <w:r>
              <w:t xml:space="preserve">—</w:t>
            </w:r>
          </w:p>
        </w:tc>
      </w:tr>
      <w:tr>
        <w:tc>
          <w:p>
            <w:pPr>
              <w:pStyle w:val="Compact"/>
              <w:jc w:val="left"/>
            </w:pPr>
            <w:r>
              <w:t xml:space="preserve">Recurring+Reoccurring Growth (org.)</w:t>
            </w:r>
          </w:p>
        </w:tc>
        <w:tc>
          <w:p>
            <w:pPr>
              <w:pStyle w:val="Compact"/>
              <w:jc w:val="left"/>
            </w:pPr>
            <w:r>
              <w:t xml:space="preserve">+7%</w:t>
            </w:r>
          </w:p>
        </w:tc>
        <w:tc>
          <w:p>
            <w:pPr>
              <w:pStyle w:val="Compact"/>
              <w:jc w:val="left"/>
            </w:pPr>
            <w:r>
              <w:t xml:space="preserve">—</w:t>
            </w:r>
          </w:p>
        </w:tc>
        <w:tc>
          <w:p>
            <w:pPr>
              <w:pStyle w:val="Compact"/>
              <w:jc w:val="left"/>
            </w:pPr>
            <w:r>
              <w:t xml:space="preserve">—</w:t>
            </w:r>
          </w:p>
        </w:tc>
      </w:tr>
    </w:tbl>
    <w:p>
      <w:pPr>
        <w:pStyle w:val="BodyText"/>
      </w:pPr>
      <w:r>
        <w:rPr>
          <w:b/>
        </w:rPr>
        <w:t xml:space="preserve">Segment Character:</w:t>
      </w:r>
      <w:r>
        <w:t xml:space="preserve"> </w:t>
      </w:r>
      <w:r>
        <w:t xml:space="preserve">-</w:t>
      </w:r>
      <w:r>
        <w:t xml:space="preserve"> </w:t>
      </w:r>
      <w:r>
        <w:rPr>
          <w:b/>
        </w:rPr>
        <w:t xml:space="preserve">Recurring Revenue Composition:</w:t>
      </w:r>
      <w:r>
        <w:t xml:space="preserve"> </w:t>
      </w:r>
      <w:r>
        <w:t xml:space="preserve">~70–80% of segment revenue structured as SaaS subscriptions, recurring maintenance, or annual licenses (Aderant, CentralReach, Deltek, Frontline, Procare, Vertafore, CBORD/Transact).</w:t>
      </w:r>
      <w:r>
        <w:t xml:space="preserve"> </w:t>
      </w:r>
      <w:r>
        <w:t xml:space="preserve">-</w:t>
      </w:r>
      <w:r>
        <w:t xml:space="preserve"> </w:t>
      </w:r>
      <w:r>
        <w:rPr>
          <w:b/>
        </w:rPr>
        <w:t xml:space="preserve">Reoccurring Revenue:</w:t>
      </w:r>
      <w:r>
        <w:t xml:space="preserve"> </w:t>
      </w:r>
      <w:r>
        <w:t xml:space="preserve">~10–15% from pass-through professional services and implementation billings.</w:t>
      </w:r>
      <w:r>
        <w:t xml:space="preserve"> </w:t>
      </w:r>
      <w:r>
        <w:t xml:space="preserve">-</w:t>
      </w:r>
      <w:r>
        <w:t xml:space="preserve"> </w:t>
      </w:r>
      <w:r>
        <w:rPr>
          <w:b/>
        </w:rPr>
        <w:t xml:space="preserve">Non-Recurring Revenue:</w:t>
      </w:r>
      <w:r>
        <w:t xml:space="preserve"> </w:t>
      </w:r>
      <w:r>
        <w:t xml:space="preserve">~10–15% from custom development, one-time software licenses.</w:t>
      </w:r>
      <w:r>
        <w:t xml:space="preserve"> </w:t>
      </w:r>
      <w:r>
        <w:t xml:space="preserve">-</w:t>
      </w:r>
      <w:r>
        <w:t xml:space="preserve"> </w:t>
      </w:r>
      <w:r>
        <w:rPr>
          <w:b/>
        </w:rPr>
        <w:t xml:space="preserve">Platform Integration:</w:t>
      </w:r>
      <w:r>
        <w:t xml:space="preserve"> </w:t>
      </w:r>
      <w:r>
        <w:t xml:space="preserve">Major deal flow concentrates in five verticals: (1) legal (Aderant), (2) healthcare (CentralReach, Procare, CBORD), (3) government contracting (Deltek), (4) K–12 education (Frontline), (5) insurance (Vertafore).</w:t>
      </w:r>
    </w:p>
    <w:p>
      <w:pPr>
        <w:pStyle w:val="BodyText"/>
      </w:pPr>
      <w:r>
        <w:rPr>
          <w:b/>
        </w:rPr>
        <w:t xml:space="preserve">Deal Model Performance (Management Commentary, Q4 2025):</w:t>
      </w:r>
      <w:r>
        <w:t xml:space="preserve"> </w:t>
      </w:r>
      <w:r>
        <w:t xml:space="preserve">-</w:t>
      </w:r>
      <w:r>
        <w:t xml:space="preserve"> </w:t>
      </w:r>
      <w:r>
        <w:rPr>
          <w:b/>
        </w:rPr>
        <w:t xml:space="preserve">Procare:</w:t>
      </w:r>
      <w:r>
        <w:t xml:space="preserve"> </w:t>
      </w:r>
      <w:r>
        <w:t xml:space="preserve">Facing implementation delays (expanded customer base + cloud migration complexity), but management states issue is</w:t>
      </w:r>
      <w:r>
        <w:t xml:space="preserve"> </w:t>
      </w:r>
      <w:r>
        <w:t xml:space="preserve">“</w:t>
      </w:r>
      <w:r>
        <w:t xml:space="preserve">completely fixable.</w:t>
      </w:r>
      <w:r>
        <w:t xml:space="preserve">”</w:t>
      </w:r>
      <w:r>
        <w:t xml:space="preserve"> </w:t>
      </w:r>
      <w:r>
        <w:t xml:space="preserve">Market leadership position intact; LTV/CAC profile strong.</w:t>
      </w:r>
      <w:r>
        <w:t xml:space="preserve"> </w:t>
      </w:r>
      <w:r>
        <w:t xml:space="preserve">-</w:t>
      </w:r>
      <w:r>
        <w:t xml:space="preserve"> </w:t>
      </w:r>
      <w:r>
        <w:rPr>
          <w:b/>
        </w:rPr>
        <w:t xml:space="preserve">CentralReach:</w:t>
      </w:r>
      <w:r>
        <w:t xml:space="preserve"> </w:t>
      </w:r>
      <w:r>
        <w:t xml:space="preserve">“</w:t>
      </w:r>
      <w:r>
        <w:t xml:space="preserve">Ahead of deal model</w:t>
      </w:r>
      <w:r>
        <w:t xml:space="preserve">”</w:t>
      </w:r>
      <w:r>
        <w:t xml:space="preserve"> </w:t>
      </w:r>
      <w:r>
        <w:t xml:space="preserve">with strong recurring momentum in ABA therapy (therapy-supervised-care market growing 8–10% CAGR).</w:t>
      </w:r>
      <w:r>
        <w:t xml:space="preserve"> </w:t>
      </w:r>
      <w:r>
        <w:t xml:space="preserve">-</w:t>
      </w:r>
      <w:r>
        <w:t xml:space="preserve"> </w:t>
      </w:r>
      <w:r>
        <w:rPr>
          <w:b/>
        </w:rPr>
        <w:t xml:space="preserve">Deltek:</w:t>
      </w:r>
      <w:r>
        <w:t xml:space="preserve"> </w:t>
      </w:r>
      <w:r>
        <w:t xml:space="preserve">GovCon exposure to FY2025 defense/DHS budget (OBBB passage positive for tier-1 contractors); cloud migration opportunity identified.</w:t>
      </w:r>
    </w:p>
    <w:p>
      <w:pPr>
        <w:pStyle w:val="BodyText"/>
      </w:pPr>
      <w:r>
        <w:t xml:space="preserve">[Source: Q4 2025 Earnings Call, segment slides.]</w:t>
      </w:r>
    </w:p>
    <w:p>
      <w:r>
        <w:pict>
          <v:rect style="width:0;height:1.5pt" o:hralign="center" o:hrstd="t" o:hr="t"/>
        </w:pict>
      </w:r>
    </w:p>
    <w:p>
      <w:pPr>
        <w:pStyle w:val="Heading4"/>
      </w:pPr>
      <w:bookmarkStart w:id="49" w:name="network-software-segment-20.3-of-revenue"/>
      <w:r>
        <w:rPr>
          <w:b/>
        </w:rPr>
        <w:t xml:space="preserve">Network Software Segment (20.3% of Revenue)</w:t>
      </w:r>
      <w:bookmarkEnd w:id="49"/>
    </w:p>
    <w:tbl>
      <w:tblPr>
        <w:tblStyle w:val="Table"/>
        <w:tblW w:type="pct" w:w="0.0"/>
        <w:tblLook w:firstRow="1"/>
      </w:tblPr>
      <w:tblGrid/>
      <w:tr>
        <w:trPr>
          <w:cnfStyle w:firstRow="1"/>
        </w:trPr>
        <w:tc>
          <w:tcPr>
            <w:tcBorders>
              <w:bottom w:val="single"/>
            </w:tcBorders>
            <w:vAlign w:val="bottom"/>
          </w:tcPr>
          <w:p>
            <w:pPr>
              <w:pStyle w:val="Compact"/>
              <w:jc w:val="left"/>
            </w:pPr>
            <w:r>
              <w:t xml:space="preserve">Metric</w:t>
            </w:r>
          </w:p>
        </w:tc>
        <w:tc>
          <w:tcPr>
            <w:tcBorders>
              <w:bottom w:val="single"/>
            </w:tcBorders>
            <w:vAlign w:val="bottom"/>
          </w:tcPr>
          <w:p>
            <w:pPr>
              <w:pStyle w:val="Compact"/>
              <w:jc w:val="left"/>
            </w:pPr>
            <w:r>
              <w:t xml:space="preserve">FY2025</w:t>
            </w:r>
          </w:p>
        </w:tc>
        <w:tc>
          <w:tcPr>
            <w:tcBorders>
              <w:bottom w:val="single"/>
            </w:tcBorders>
            <w:vAlign w:val="bottom"/>
          </w:tcPr>
          <w:p>
            <w:pPr>
              <w:pStyle w:val="Compact"/>
              <w:jc w:val="left"/>
            </w:pPr>
            <w:r>
              <w:t xml:space="preserve">FY2024</w:t>
            </w:r>
          </w:p>
        </w:tc>
        <w:tc>
          <w:tcPr>
            <w:tcBorders>
              <w:bottom w:val="single"/>
            </w:tcBorders>
            <w:vAlign w:val="bottom"/>
          </w:tcPr>
          <w:p>
            <w:pPr>
              <w:pStyle w:val="Compact"/>
              <w:jc w:val="left"/>
            </w:pPr>
            <w:r>
              <w:t xml:space="preserve">Growth</w:t>
            </w:r>
          </w:p>
        </w:tc>
      </w:tr>
      <w:tr>
        <w:tc>
          <w:p>
            <w:pPr>
              <w:pStyle w:val="Compact"/>
              <w:jc w:val="left"/>
            </w:pPr>
            <w:r>
              <w:t xml:space="preserve">Revenue</w:t>
            </w:r>
          </w:p>
        </w:tc>
        <w:tc>
          <w:p>
            <w:pPr>
              <w:pStyle w:val="Compact"/>
              <w:jc w:val="left"/>
            </w:pPr>
            <w:r>
              <w:t xml:space="preserve">$1,601M</w:t>
            </w:r>
          </w:p>
        </w:tc>
        <w:tc>
          <w:p>
            <w:pPr>
              <w:pStyle w:val="Compact"/>
              <w:jc w:val="left"/>
            </w:pPr>
            <w:r>
              <w:t xml:space="preserve">—</w:t>
            </w:r>
          </w:p>
        </w:tc>
        <w:tc>
          <w:p>
            <w:pPr>
              <w:pStyle w:val="Compact"/>
              <w:jc w:val="left"/>
            </w:pPr>
            <w:r>
              <w:t xml:space="preserve">+8% (est.)</w:t>
            </w:r>
          </w:p>
        </w:tc>
      </w:tr>
      <w:tr>
        <w:tc>
          <w:p>
            <w:pPr>
              <w:pStyle w:val="Compact"/>
              <w:jc w:val="left"/>
            </w:pPr>
            <w:r>
              <w:t xml:space="preserve">Adj. EBITDA</w:t>
            </w:r>
          </w:p>
        </w:tc>
        <w:tc>
          <w:p>
            <w:pPr>
              <w:pStyle w:val="Compact"/>
              <w:jc w:val="left"/>
            </w:pPr>
            <w:r>
              <w:t xml:space="preserve">$865M</w:t>
            </w:r>
          </w:p>
        </w:tc>
        <w:tc>
          <w:p>
            <w:pPr>
              <w:pStyle w:val="Compact"/>
              <w:jc w:val="left"/>
            </w:pPr>
            <w:r>
              <w:t xml:space="preserve">—</w:t>
            </w:r>
          </w:p>
        </w:tc>
        <w:tc>
          <w:p>
            <w:pPr>
              <w:pStyle w:val="Compact"/>
              <w:jc w:val="left"/>
            </w:pPr>
            <w:r>
              <w:t xml:space="preserve">—</w:t>
            </w:r>
          </w:p>
        </w:tc>
      </w:tr>
      <w:tr>
        <w:tc>
          <w:p>
            <w:pPr>
              <w:pStyle w:val="Compact"/>
              <w:jc w:val="left"/>
            </w:pPr>
            <w:r>
              <w:t xml:space="preserve">EBITDA Margin %</w:t>
            </w:r>
          </w:p>
        </w:tc>
        <w:tc>
          <w:p>
            <w:pPr>
              <w:pStyle w:val="Compact"/>
              <w:jc w:val="left"/>
            </w:pPr>
            <w:r>
              <w:t xml:space="preserve">54.1% (highest)</w:t>
            </w:r>
          </w:p>
        </w:tc>
        <w:tc>
          <w:p>
            <w:pPr>
              <w:pStyle w:val="Compact"/>
              <w:jc w:val="left"/>
            </w:pPr>
            <w:r>
              <w:t xml:space="preserve">—</w:t>
            </w:r>
          </w:p>
        </w:tc>
        <w:tc>
          <w:p>
            <w:pPr>
              <w:pStyle w:val="Compact"/>
              <w:jc w:val="left"/>
            </w:pPr>
            <w:r>
              <w:t xml:space="preserve">—</w:t>
            </w:r>
          </w:p>
        </w:tc>
      </w:tr>
      <w:tr>
        <w:tc>
          <w:p>
            <w:pPr>
              <w:pStyle w:val="Compact"/>
              <w:jc w:val="left"/>
            </w:pPr>
            <w:r>
              <w:t xml:space="preserve">Organic Revenue Growth</w:t>
            </w:r>
          </w:p>
        </w:tc>
        <w:tc>
          <w:p>
            <w:pPr>
              <w:pStyle w:val="Compact"/>
              <w:jc w:val="left"/>
            </w:pPr>
            <w:r>
              <w:t xml:space="preserve">+4%</w:t>
            </w:r>
          </w:p>
        </w:tc>
        <w:tc>
          <w:p>
            <w:pPr>
              <w:pStyle w:val="Compact"/>
              <w:jc w:val="left"/>
            </w:pPr>
            <w:r>
              <w:t xml:space="preserve">—</w:t>
            </w:r>
          </w:p>
        </w:tc>
        <w:tc>
          <w:p>
            <w:pPr>
              <w:pStyle w:val="Compact"/>
              <w:jc w:val="left"/>
            </w:pPr>
            <w:r>
              <w:t xml:space="preserve">—</w:t>
            </w:r>
          </w:p>
        </w:tc>
      </w:tr>
      <w:tr>
        <w:tc>
          <w:p>
            <w:pPr>
              <w:pStyle w:val="Compact"/>
              <w:jc w:val="left"/>
            </w:pPr>
            <w:r>
              <w:t xml:space="preserve">M&amp;A Revenue Growth</w:t>
            </w:r>
          </w:p>
        </w:tc>
        <w:tc>
          <w:p>
            <w:pPr>
              <w:pStyle w:val="Compact"/>
              <w:jc w:val="left"/>
            </w:pPr>
            <w:r>
              <w:t xml:space="preserve">+4%</w:t>
            </w:r>
          </w:p>
        </w:tc>
        <w:tc>
          <w:p>
            <w:pPr>
              <w:pStyle w:val="Compact"/>
              <w:jc w:val="left"/>
            </w:pPr>
            <w:r>
              <w:t xml:space="preserve">—</w:t>
            </w:r>
          </w:p>
        </w:tc>
        <w:tc>
          <w:p>
            <w:pPr>
              <w:pStyle w:val="Compact"/>
              <w:jc w:val="left"/>
            </w:pPr>
            <w:r>
              <w:t xml:space="preserve">—</w:t>
            </w:r>
          </w:p>
        </w:tc>
      </w:tr>
    </w:tbl>
    <w:p>
      <w:pPr>
        <w:pStyle w:val="BodyText"/>
      </w:pPr>
      <w:r>
        <w:rPr>
          <w:b/>
        </w:rPr>
        <w:t xml:space="preserve">Segment Character:</w:t>
      </w:r>
      <w:r>
        <w:t xml:space="preserve"> </w:t>
      </w:r>
      <w:r>
        <w:t xml:space="preserve">-</w:t>
      </w:r>
      <w:r>
        <w:t xml:space="preserve"> </w:t>
      </w:r>
      <w:r>
        <w:rPr>
          <w:b/>
        </w:rPr>
        <w:t xml:space="preserve">Recurring Revenue Composition:</w:t>
      </w:r>
      <w:r>
        <w:t xml:space="preserve"> </w:t>
      </w:r>
      <w:r>
        <w:t xml:space="preserve">~75–85% of revenue from network subscription/membership models (ConstructConnect, DAT, iPipeline, iTradeNetwork, Subsplash).</w:t>
      </w:r>
      <w:r>
        <w:t xml:space="preserve"> </w:t>
      </w:r>
      <w:r>
        <w:t xml:space="preserve">-</w:t>
      </w:r>
      <w:r>
        <w:t xml:space="preserve"> </w:t>
      </w:r>
      <w:r>
        <w:rPr>
          <w:b/>
        </w:rPr>
        <w:t xml:space="preserve">Network Effects:</w:t>
      </w:r>
      <w:r>
        <w:t xml:space="preserve"> </w:t>
      </w:r>
      <w:r>
        <w:t xml:space="preserve">Two platforms exhibit two-sided network dynamics:</w:t>
      </w:r>
      <w:r>
        <w:t xml:space="preserve"> </w:t>
      </w:r>
      <w:r>
        <w:t xml:space="preserve">-</w:t>
      </w:r>
      <w:r>
        <w:t xml:space="preserve"> </w:t>
      </w:r>
      <w:r>
        <w:rPr>
          <w:b/>
        </w:rPr>
        <w:t xml:space="preserve">DAT:</w:t>
      </w:r>
      <w:r>
        <w:t xml:space="preserve"> </w:t>
      </w:r>
      <w:r>
        <w:t xml:space="preserve">Freight marketplace connecting shippers/carriers; ARPU expansion ongoing as load board evolves into automated marketplace.</w:t>
      </w:r>
      <w:r>
        <w:t xml:space="preserve"> </w:t>
      </w:r>
      <w:r>
        <w:t xml:space="preserve">-</w:t>
      </w:r>
      <w:r>
        <w:t xml:space="preserve"> </w:t>
      </w:r>
      <w:r>
        <w:rPr>
          <w:b/>
        </w:rPr>
        <w:t xml:space="preserve">ConstructConnect:</w:t>
      </w:r>
      <w:r>
        <w:t xml:space="preserve"> </w:t>
      </w:r>
      <w:r>
        <w:t xml:space="preserve">Preconstruction bidding data; switching cost high for general contractors and subcontractors.</w:t>
      </w:r>
      <w:r>
        <w:t xml:space="preserve"> </w:t>
      </w:r>
      <w:r>
        <w:t xml:space="preserve">-</w:t>
      </w:r>
      <w:r>
        <w:t xml:space="preserve"> </w:t>
      </w:r>
      <w:r>
        <w:rPr>
          <w:b/>
        </w:rPr>
        <w:t xml:space="preserve">Reoccurring Revenue:</w:t>
      </w:r>
      <w:r>
        <w:t xml:space="preserve"> </w:t>
      </w:r>
      <w:r>
        <w:t xml:space="preserve">~5–10% from ancillary services.</w:t>
      </w:r>
      <w:r>
        <w:t xml:space="preserve"> </w:t>
      </w:r>
      <w:r>
        <w:t xml:space="preserve">-</w:t>
      </w:r>
      <w:r>
        <w:t xml:space="preserve"> </w:t>
      </w:r>
      <w:r>
        <w:rPr>
          <w:b/>
        </w:rPr>
        <w:t xml:space="preserve">Non-Recurring:</w:t>
      </w:r>
      <w:r>
        <w:t xml:space="preserve"> </w:t>
      </w:r>
      <w:r>
        <w:t xml:space="preserve">~5–10% from one-off services.</w:t>
      </w:r>
      <w:r>
        <w:t xml:space="preserve"> </w:t>
      </w:r>
      <w:r>
        <w:t xml:space="preserve">-</w:t>
      </w:r>
      <w:r>
        <w:t xml:space="preserve"> </w:t>
      </w:r>
      <w:r>
        <w:rPr>
          <w:b/>
        </w:rPr>
        <w:t xml:space="preserve">Platform Integration:</w:t>
      </w:r>
      <w:r>
        <w:t xml:space="preserve"> </w:t>
      </w:r>
      <w:r>
        <w:t xml:space="preserve">Recent Subsplash acquisition (Jul 2025, ~$800M) adds faith-based SaaS (church management, streaming) to portfolio; expands TAM to religious organizations and faith communities.</w:t>
      </w:r>
    </w:p>
    <w:p>
      <w:pPr>
        <w:pStyle w:val="BodyText"/>
      </w:pPr>
      <w:r>
        <w:rPr>
          <w:b/>
        </w:rPr>
        <w:t xml:space="preserve">Deal Model Performance (Management Commentary):</w:t>
      </w:r>
      <w:r>
        <w:t xml:space="preserve"> </w:t>
      </w:r>
      <w:r>
        <w:t xml:space="preserve">-</w:t>
      </w:r>
      <w:r>
        <w:t xml:space="preserve"> </w:t>
      </w:r>
      <w:r>
        <w:rPr>
          <w:b/>
        </w:rPr>
        <w:t xml:space="preserve">DAT:</w:t>
      </w:r>
      <w:r>
        <w:t xml:space="preserve"> </w:t>
      </w:r>
      <w:r>
        <w:t xml:space="preserve">“</w:t>
      </w:r>
      <w:r>
        <w:t xml:space="preserve">Evolving from load board to automated marketplace</w:t>
      </w:r>
      <w:r>
        <w:t xml:space="preserve">”</w:t>
      </w:r>
      <w:r>
        <w:t xml:space="preserve">; ARPU expansion continues as algorithmic matching and freight automation features roll out. Management cites no near-term recovery in freight market but emphasizes durability of platform moat.</w:t>
      </w:r>
      <w:r>
        <w:t xml:space="preserve"> </w:t>
      </w:r>
      <w:r>
        <w:t xml:space="preserve">-</w:t>
      </w:r>
      <w:r>
        <w:t xml:space="preserve"> </w:t>
      </w:r>
      <w:r>
        <w:rPr>
          <w:b/>
        </w:rPr>
        <w:t xml:space="preserve">ConstructConnect:</w:t>
      </w:r>
      <w:r>
        <w:t xml:space="preserve"> </w:t>
      </w:r>
      <w:r>
        <w:t xml:space="preserve">Steady; preconstruction data (bid alerts, contractor intelligence) remains mission-critical to GC/subcontractor workflows.</w:t>
      </w:r>
    </w:p>
    <w:p>
      <w:pPr>
        <w:pStyle w:val="BodyText"/>
      </w:pPr>
      <w:r>
        <w:t xml:space="preserve">[Source: Q4 2025 Earnings Call, segment slides.]</w:t>
      </w:r>
    </w:p>
    <w:p>
      <w:r>
        <w:pict>
          <v:rect style="width:0;height:1.5pt" o:hralign="center" o:hrstd="t" o:hr="t"/>
        </w:pict>
      </w:r>
    </w:p>
    <w:p>
      <w:pPr>
        <w:pStyle w:val="Heading4"/>
      </w:pPr>
      <w:bookmarkStart w:id="50" w:name="X16bf46872e3de623057f4d527eb05a82df8e32d"/>
      <w:r>
        <w:rPr>
          <w:b/>
        </w:rPr>
        <w:t xml:space="preserve">Technology Enabled Products Segment (23.0% of Revenue)</w:t>
      </w:r>
      <w:bookmarkEnd w:id="50"/>
    </w:p>
    <w:tbl>
      <w:tblPr>
        <w:tblStyle w:val="Table"/>
        <w:tblW w:type="pct" w:w="0.0"/>
        <w:tblLook w:firstRow="1"/>
      </w:tblPr>
      <w:tblGrid/>
      <w:tr>
        <w:trPr>
          <w:cnfStyle w:firstRow="1"/>
        </w:trPr>
        <w:tc>
          <w:tcPr>
            <w:tcBorders>
              <w:bottom w:val="single"/>
            </w:tcBorders>
            <w:vAlign w:val="bottom"/>
          </w:tcPr>
          <w:p>
            <w:pPr>
              <w:pStyle w:val="Compact"/>
              <w:jc w:val="left"/>
            </w:pPr>
            <w:r>
              <w:t xml:space="preserve">Metric</w:t>
            </w:r>
          </w:p>
        </w:tc>
        <w:tc>
          <w:tcPr>
            <w:tcBorders>
              <w:bottom w:val="single"/>
            </w:tcBorders>
            <w:vAlign w:val="bottom"/>
          </w:tcPr>
          <w:p>
            <w:pPr>
              <w:pStyle w:val="Compact"/>
              <w:jc w:val="left"/>
            </w:pPr>
            <w:r>
              <w:t xml:space="preserve">FY2025</w:t>
            </w:r>
          </w:p>
        </w:tc>
        <w:tc>
          <w:tcPr>
            <w:tcBorders>
              <w:bottom w:val="single"/>
            </w:tcBorders>
            <w:vAlign w:val="bottom"/>
          </w:tcPr>
          <w:p>
            <w:pPr>
              <w:pStyle w:val="Compact"/>
              <w:jc w:val="left"/>
            </w:pPr>
            <w:r>
              <w:t xml:space="preserve">FY2024</w:t>
            </w:r>
          </w:p>
        </w:tc>
        <w:tc>
          <w:tcPr>
            <w:tcBorders>
              <w:bottom w:val="single"/>
            </w:tcBorders>
            <w:vAlign w:val="bottom"/>
          </w:tcPr>
          <w:p>
            <w:pPr>
              <w:pStyle w:val="Compact"/>
              <w:jc w:val="left"/>
            </w:pPr>
            <w:r>
              <w:t xml:space="preserve">Growth</w:t>
            </w:r>
          </w:p>
        </w:tc>
      </w:tr>
      <w:tr>
        <w:tc>
          <w:p>
            <w:pPr>
              <w:pStyle w:val="Compact"/>
              <w:jc w:val="left"/>
            </w:pPr>
            <w:r>
              <w:t xml:space="preserve">Revenue</w:t>
            </w:r>
          </w:p>
        </w:tc>
        <w:tc>
          <w:p>
            <w:pPr>
              <w:pStyle w:val="Compact"/>
              <w:jc w:val="left"/>
            </w:pPr>
            <w:r>
              <w:t xml:space="preserve">$1,819M</w:t>
            </w:r>
          </w:p>
        </w:tc>
        <w:tc>
          <w:p>
            <w:pPr>
              <w:pStyle w:val="Compact"/>
              <w:jc w:val="left"/>
            </w:pPr>
            <w:r>
              <w:t xml:space="preserve">—</w:t>
            </w:r>
          </w:p>
        </w:tc>
        <w:tc>
          <w:p>
            <w:pPr>
              <w:pStyle w:val="Compact"/>
              <w:jc w:val="left"/>
            </w:pPr>
            <w:r>
              <w:t xml:space="preserve">+6% (org. only)</w:t>
            </w:r>
          </w:p>
        </w:tc>
      </w:tr>
      <w:tr>
        <w:tc>
          <w:p>
            <w:pPr>
              <w:pStyle w:val="Compact"/>
              <w:jc w:val="left"/>
            </w:pPr>
            <w:r>
              <w:t xml:space="preserve">Adj. EBITDA</w:t>
            </w:r>
          </w:p>
        </w:tc>
        <w:tc>
          <w:p>
            <w:pPr>
              <w:pStyle w:val="Compact"/>
              <w:jc w:val="left"/>
            </w:pPr>
            <w:r>
              <w:t xml:space="preserve">$650M</w:t>
            </w:r>
          </w:p>
        </w:tc>
        <w:tc>
          <w:p>
            <w:pPr>
              <w:pStyle w:val="Compact"/>
              <w:jc w:val="left"/>
            </w:pPr>
            <w:r>
              <w:t xml:space="preserve">—</w:t>
            </w:r>
          </w:p>
        </w:tc>
        <w:tc>
          <w:p>
            <w:pPr>
              <w:pStyle w:val="Compact"/>
              <w:jc w:val="left"/>
            </w:pPr>
            <w:r>
              <w:t xml:space="preserve">—</w:t>
            </w:r>
          </w:p>
        </w:tc>
      </w:tr>
      <w:tr>
        <w:tc>
          <w:p>
            <w:pPr>
              <w:pStyle w:val="Compact"/>
              <w:jc w:val="left"/>
            </w:pPr>
            <w:r>
              <w:t xml:space="preserve">EBITDA Margin %</w:t>
            </w:r>
          </w:p>
        </w:tc>
        <w:tc>
          <w:p>
            <w:pPr>
              <w:pStyle w:val="Compact"/>
              <w:jc w:val="left"/>
            </w:pPr>
            <w:r>
              <w:t xml:space="preserve">35.7%</w:t>
            </w:r>
          </w:p>
        </w:tc>
        <w:tc>
          <w:p>
            <w:pPr>
              <w:pStyle w:val="Compact"/>
              <w:jc w:val="left"/>
            </w:pPr>
            <w:r>
              <w:t xml:space="preserve">—</w:t>
            </w:r>
          </w:p>
        </w:tc>
        <w:tc>
          <w:p>
            <w:pPr>
              <w:pStyle w:val="Compact"/>
              <w:jc w:val="left"/>
            </w:pPr>
            <w:r>
              <w:t xml:space="preserve">—</w:t>
            </w:r>
          </w:p>
        </w:tc>
      </w:tr>
      <w:tr>
        <w:tc>
          <w:p>
            <w:pPr>
              <w:pStyle w:val="Compact"/>
              <w:jc w:val="left"/>
            </w:pPr>
            <w:r>
              <w:t xml:space="preserve">Organic Revenue Growth</w:t>
            </w:r>
          </w:p>
        </w:tc>
        <w:tc>
          <w:p>
            <w:pPr>
              <w:pStyle w:val="Compact"/>
              <w:jc w:val="left"/>
            </w:pPr>
            <w:r>
              <w:t xml:space="preserve">+6%</w:t>
            </w:r>
          </w:p>
        </w:tc>
        <w:tc>
          <w:p>
            <w:pPr>
              <w:pStyle w:val="Compact"/>
              <w:jc w:val="left"/>
            </w:pPr>
            <w:r>
              <w:t xml:space="preserve">—</w:t>
            </w:r>
          </w:p>
        </w:tc>
        <w:tc>
          <w:p>
            <w:pPr>
              <w:pStyle w:val="Compact"/>
              <w:jc w:val="left"/>
            </w:pPr>
            <w:r>
              <w:t xml:space="preserve">—</w:t>
            </w:r>
          </w:p>
        </w:tc>
      </w:tr>
      <w:tr>
        <w:tc>
          <w:p>
            <w:pPr>
              <w:pStyle w:val="Compact"/>
              <w:jc w:val="left"/>
            </w:pPr>
            <w:r>
              <w:t xml:space="preserve">M&amp;A Revenue Growth</w:t>
            </w:r>
          </w:p>
        </w:tc>
        <w:tc>
          <w:p>
            <w:pPr>
              <w:pStyle w:val="Compact"/>
              <w:jc w:val="left"/>
            </w:pPr>
            <w:r>
              <w:t xml:space="preserve">0%</w:t>
            </w:r>
          </w:p>
        </w:tc>
        <w:tc>
          <w:p>
            <w:pPr>
              <w:pStyle w:val="Compact"/>
              <w:jc w:val="left"/>
            </w:pPr>
            <w:r>
              <w:t xml:space="preserve">—</w:t>
            </w:r>
          </w:p>
        </w:tc>
        <w:tc>
          <w:p>
            <w:pPr>
              <w:pStyle w:val="Compact"/>
              <w:jc w:val="left"/>
            </w:pPr>
            <w:r>
              <w:t xml:space="preserve">—</w:t>
            </w:r>
          </w:p>
        </w:tc>
      </w:tr>
    </w:tbl>
    <w:p>
      <w:pPr>
        <w:pStyle w:val="BodyText"/>
      </w:pPr>
      <w:r>
        <w:rPr>
          <w:b/>
        </w:rPr>
        <w:t xml:space="preserve">Segment Character:</w:t>
      </w:r>
      <w:r>
        <w:t xml:space="preserve"> </w:t>
      </w:r>
      <w:r>
        <w:t xml:space="preserve">-</w:t>
      </w:r>
      <w:r>
        <w:t xml:space="preserve"> </w:t>
      </w:r>
      <w:r>
        <w:rPr>
          <w:b/>
        </w:rPr>
        <w:t xml:space="preserve">Recurring Revenue Composition:</w:t>
      </w:r>
      <w:r>
        <w:t xml:space="preserve"> </w:t>
      </w:r>
      <w:r>
        <w:t xml:space="preserve">~20–25% from recurring contracts (Neptune water meter connectivity fees, sensor subscriptions, service agreements).</w:t>
      </w:r>
      <w:r>
        <w:t xml:space="preserve"> </w:t>
      </w:r>
      <w:r>
        <w:t xml:space="preserve">-</w:t>
      </w:r>
      <w:r>
        <w:t xml:space="preserve"> </w:t>
      </w:r>
      <w:r>
        <w:rPr>
          <w:b/>
        </w:rPr>
        <w:t xml:space="preserve">Product Revenue:</w:t>
      </w:r>
      <w:r>
        <w:t xml:space="preserve"> </w:t>
      </w:r>
      <w:r>
        <w:t xml:space="preserve">~60–70% from hardware/consumables sales (CIVCO ultrasound pads, FMI pumps, Verathon laryngoscopes, NDI electromagnetic tracking sensors).</w:t>
      </w:r>
      <w:r>
        <w:t xml:space="preserve"> </w:t>
      </w:r>
      <w:r>
        <w:t xml:space="preserve">-</w:t>
      </w:r>
      <w:r>
        <w:t xml:space="preserve"> </w:t>
      </w:r>
      <w:r>
        <w:rPr>
          <w:b/>
        </w:rPr>
        <w:t xml:space="preserve">Reoccurring/Consumables:</w:t>
      </w:r>
      <w:r>
        <w:t xml:space="preserve"> </w:t>
      </w:r>
      <w:r>
        <w:t xml:space="preserve">~10–15% from replacement pads, supplies, calibrations.</w:t>
      </w:r>
      <w:r>
        <w:t xml:space="preserve"> </w:t>
      </w:r>
      <w:r>
        <w:t xml:space="preserve">-</w:t>
      </w:r>
      <w:r>
        <w:t xml:space="preserve"> </w:t>
      </w:r>
      <w:r>
        <w:rPr>
          <w:b/>
        </w:rPr>
        <w:t xml:space="preserve">No Active M&amp;A:</w:t>
      </w:r>
      <w:r>
        <w:t xml:space="preserve"> </w:t>
      </w:r>
      <w:r>
        <w:t xml:space="preserve">This segment has generated organic growth (+6%) but attracted no acquisition capital in FY2025; represents</w:t>
      </w:r>
      <w:r>
        <w:t xml:space="preserve"> </w:t>
      </w:r>
      <w:r>
        <w:t xml:space="preserve">“</w:t>
      </w:r>
      <w:r>
        <w:t xml:space="preserve">harvesting</w:t>
      </w:r>
      <w:r>
        <w:t xml:space="preserve">”</w:t>
      </w:r>
      <w:r>
        <w:t xml:space="preserve"> </w:t>
      </w:r>
      <w:r>
        <w:t xml:space="preserve">of legacy industrial/medical device portfolio with solid margins and modest growth.</w:t>
      </w:r>
    </w:p>
    <w:p>
      <w:pPr>
        <w:pStyle w:val="BodyText"/>
      </w:pPr>
      <w:r>
        <w:rPr>
          <w:b/>
        </w:rPr>
        <w:t xml:space="preserve">Platform Trends:</w:t>
      </w:r>
      <w:r>
        <w:t xml:space="preserve"> </w:t>
      </w:r>
      <w:r>
        <w:t xml:space="preserve">-</w:t>
      </w:r>
      <w:r>
        <w:t xml:space="preserve"> </w:t>
      </w:r>
      <w:r>
        <w:rPr>
          <w:b/>
        </w:rPr>
        <w:t xml:space="preserve">Neptune:</w:t>
      </w:r>
      <w:r>
        <w:t xml:space="preserve"> </w:t>
      </w:r>
      <w:r>
        <w:t xml:space="preserve">Water meter IoT connectivity (advanced metering infrastructure, AMI) faces modest headwinds from municipal budget constraints; FY2026 guidance assumes</w:t>
      </w:r>
      <w:r>
        <w:t xml:space="preserve"> </w:t>
      </w:r>
      <w:r>
        <w:t xml:space="preserve">“</w:t>
      </w:r>
      <w:r>
        <w:t xml:space="preserve">modest decline</w:t>
      </w:r>
      <w:r>
        <w:t xml:space="preserve">”</w:t>
      </w:r>
      <w:r>
        <w:t xml:space="preserve"> </w:t>
      </w:r>
      <w:r>
        <w:t xml:space="preserve">[Q4 2025 call].</w:t>
      </w:r>
      <w:r>
        <w:t xml:space="preserve"> </w:t>
      </w:r>
      <w:r>
        <w:t xml:space="preserve">-</w:t>
      </w:r>
      <w:r>
        <w:t xml:space="preserve"> </w:t>
      </w:r>
      <w:r>
        <w:rPr>
          <w:b/>
        </w:rPr>
        <w:t xml:space="preserve">CIVCO, Verathon, NDI:</w:t>
      </w:r>
      <w:r>
        <w:t xml:space="preserve"> </w:t>
      </w:r>
      <w:r>
        <w:t xml:space="preserve">Steady-state; mature niches with inelastic demand (healthcare facilities, surgery centers, OR demand).</w:t>
      </w:r>
      <w:r>
        <w:t xml:space="preserve"> </w:t>
      </w:r>
      <w:r>
        <w:t xml:space="preserve">-</w:t>
      </w:r>
      <w:r>
        <w:t xml:space="preserve"> </w:t>
      </w:r>
      <w:r>
        <w:rPr>
          <w:b/>
        </w:rPr>
        <w:t xml:space="preserve">Subsplash Opportunity:</w:t>
      </w:r>
      <w:r>
        <w:t xml:space="preserve"> </w:t>
      </w:r>
      <w:r>
        <w:t xml:space="preserve">Management exploring whether Subsplash’s faith community platform can monetize connected hardware (i.e., streaming equipment, audio systems) for churches; still exploratory.</w:t>
      </w:r>
    </w:p>
    <w:p>
      <w:pPr>
        <w:pStyle w:val="BodyText"/>
      </w:pPr>
      <w:r>
        <w:t xml:space="preserve">[Source: Q4 2025 Earnings Call, segment slides, 10-K.]</w:t>
      </w:r>
    </w:p>
    <w:p>
      <w:r>
        <w:pict>
          <v:rect style="width:0;height:1.5pt" o:hralign="center" o:hrstd="t" o:hr="t"/>
        </w:pict>
      </w:r>
    </w:p>
    <w:p>
      <w:pPr>
        <w:pStyle w:val="Heading3"/>
      </w:pPr>
      <w:bookmarkStart w:id="51" w:name="c.-structurally-recurring-revenue"/>
      <w:r>
        <w:t xml:space="preserve">1C. Structurally Recurring Revenue %</w:t>
      </w:r>
      <w:bookmarkEnd w:id="51"/>
    </w:p>
    <w:p>
      <w:pPr>
        <w:pStyle w:val="FirstParagraph"/>
      </w:pPr>
      <w:r>
        <w:rPr>
          <w:b/>
        </w:rPr>
        <w:t xml:space="preserve">Consolidated Recurring + Reoccurring Revenue (FY2025):</w:t>
      </w:r>
    </w:p>
    <w:p>
      <w:pPr>
        <w:pStyle w:val="BodyText"/>
      </w:pPr>
      <m:oMathPara>
        <m:oMathParaPr>
          <m:jc m:val="center"/>
        </m:oMathParaPr>
        <m:oMath>
          <m:r>
            <m:rPr>
              <m:nor/>
              <m:sty m:val="p"/>
            </m:rPr>
            <m:t>Recurring + Reoccurring</m:t>
          </m:r>
          <m:r>
            <m:t>=</m:t>
          </m:r>
          <m:f>
            <m:fPr>
              <m:type m:val="bar"/>
            </m:fPr>
            <m:num>
              <m:r>
                <m:t>$</m:t>
              </m:r>
              <m:r>
                <m:t>4</m:t>
              </m:r>
              <m:r>
                <m:t>,</m:t>
              </m:r>
              <m:r>
                <m:t>483</m:t>
              </m:r>
              <m:r>
                <m:t>M</m:t>
              </m:r>
              <m:r>
                <m:rPr>
                  <m:nor/>
                  <m:sty m:val="p"/>
                </m:rPr>
                <m:t> (recurring)</m:t>
              </m:r>
              <m:r>
                <m:t>+</m:t>
              </m:r>
              <m:r>
                <m:t>$</m:t>
              </m:r>
              <m:r>
                <m:t>833</m:t>
              </m:r>
              <m:r>
                <m:t>M</m:t>
              </m:r>
              <m:r>
                <m:rPr>
                  <m:nor/>
                  <m:sty m:val="p"/>
                </m:rPr>
                <m:t> (reoccurring)</m:t>
              </m:r>
            </m:num>
            <m:den>
              <m:r>
                <m:t>$</m:t>
              </m:r>
              <m:r>
                <m:t>7</m:t>
              </m:r>
              <m:r>
                <m:t>,</m:t>
              </m:r>
              <m:r>
                <m:t>902.5</m:t>
              </m:r>
              <m:r>
                <m:t>M</m:t>
              </m:r>
              <m:r>
                <m:rPr>
                  <m:nor/>
                  <m:sty m:val="p"/>
                </m:rPr>
                <m:t> (total)</m:t>
              </m:r>
            </m:den>
          </m:f>
          <m:r>
            <m:t>=</m:t>
          </m:r>
          <m:borderBox>
            <m:e>
              <m:r>
                <m:t>67.3</m:t>
              </m:r>
              <m:r>
                <m:t>%</m:t>
              </m:r>
            </m:e>
          </m:borderBox>
        </m:oMath>
      </m:oMathPara>
    </w:p>
    <w:p>
      <w:pPr>
        <w:pStyle w:val="FirstParagraph"/>
      </w:pPr>
      <w:r>
        <w:rPr>
          <w:b/>
        </w:rPr>
        <w:t xml:space="preserve">By Segment:</w:t>
      </w:r>
    </w:p>
    <w:tbl>
      <w:tblPr>
        <w:tblStyle w:val="Table"/>
        <w:tblW w:type="pct" w:w="5000.0"/>
        <w:tblLook w:firstRow="1"/>
      </w:tblPr>
      <w:tblGrid>
        <w:gridCol w:w="1208"/>
        <w:gridCol w:w="1745"/>
        <w:gridCol w:w="2013"/>
        <w:gridCol w:w="1476"/>
        <w:gridCol w:w="1476"/>
      </w:tblGrid>
      <w:tr>
        <w:trPr>
          <w:cnfStyle w:firstRow="1"/>
        </w:trPr>
        <w:tc>
          <w:tcPr>
            <w:tcBorders>
              <w:bottom w:val="single"/>
            </w:tcBorders>
            <w:vAlign w:val="bottom"/>
          </w:tcPr>
          <w:p>
            <w:pPr>
              <w:pStyle w:val="Compact"/>
              <w:jc w:val="left"/>
            </w:pPr>
            <w:r>
              <w:t xml:space="preserve">Segment</w:t>
            </w:r>
          </w:p>
        </w:tc>
        <w:tc>
          <w:tcPr>
            <w:tcBorders>
              <w:bottom w:val="single"/>
            </w:tcBorders>
            <w:vAlign w:val="bottom"/>
          </w:tcPr>
          <w:p>
            <w:pPr>
              <w:pStyle w:val="Compact"/>
              <w:jc w:val="left"/>
            </w:pPr>
            <w:r>
              <w:t xml:space="preserve">Recurring %</w:t>
            </w:r>
          </w:p>
        </w:tc>
        <w:tc>
          <w:tcPr>
            <w:tcBorders>
              <w:bottom w:val="single"/>
            </w:tcBorders>
            <w:vAlign w:val="bottom"/>
          </w:tcPr>
          <w:p>
            <w:pPr>
              <w:pStyle w:val="Compact"/>
              <w:jc w:val="left"/>
            </w:pPr>
            <w:r>
              <w:t xml:space="preserve">Reoccurring %</w:t>
            </w:r>
          </w:p>
        </w:tc>
        <w:tc>
          <w:tcPr>
            <w:tcBorders>
              <w:bottom w:val="single"/>
            </w:tcBorders>
            <w:vAlign w:val="bottom"/>
          </w:tcPr>
          <w:p>
            <w:pPr>
              <w:pStyle w:val="Compact"/>
              <w:jc w:val="left"/>
            </w:pPr>
            <w:r>
              <w:t xml:space="preserve">Subtotal %</w:t>
            </w:r>
          </w:p>
        </w:tc>
        <w:tc>
          <w:tcPr>
            <w:tcBorders>
              <w:bottom w:val="single"/>
            </w:tcBorders>
            <w:vAlign w:val="bottom"/>
          </w:tcPr>
          <w:p>
            <w:pPr>
              <w:pStyle w:val="Compact"/>
              <w:jc w:val="left"/>
            </w:pPr>
            <w:r>
              <w:t xml:space="preserve">Rationale</w:t>
            </w:r>
          </w:p>
        </w:tc>
      </w:tr>
      <w:tr>
        <w:tc>
          <w:p>
            <w:pPr>
              <w:pStyle w:val="Compact"/>
              <w:jc w:val="left"/>
            </w:pPr>
            <w:r>
              <w:t xml:space="preserve">Application Software</w:t>
            </w:r>
          </w:p>
        </w:tc>
        <w:tc>
          <w:p>
            <w:pPr>
              <w:pStyle w:val="Compact"/>
              <w:jc w:val="left"/>
            </w:pPr>
            <w:r>
              <w:t xml:space="preserve">70–80%</w:t>
            </w:r>
          </w:p>
        </w:tc>
        <w:tc>
          <w:p>
            <w:pPr>
              <w:pStyle w:val="Compact"/>
              <w:jc w:val="left"/>
            </w:pPr>
            <w:r>
              <w:t xml:space="preserve">10–15%</w:t>
            </w:r>
          </w:p>
        </w:tc>
        <w:tc>
          <w:p>
            <w:pPr>
              <w:pStyle w:val="Compact"/>
              <w:jc w:val="left"/>
            </w:pPr>
            <w:r>
              <w:t xml:space="preserve">~80–90%</w:t>
            </w:r>
          </w:p>
        </w:tc>
        <w:tc>
          <w:p>
            <w:pPr>
              <w:pStyle w:val="Compact"/>
              <w:jc w:val="left"/>
            </w:pPr>
            <w:r>
              <w:t xml:space="preserve">SaaS/subscription dominant; limited one-time licenses</w:t>
            </w:r>
          </w:p>
        </w:tc>
      </w:tr>
      <w:tr>
        <w:tc>
          <w:p>
            <w:pPr>
              <w:pStyle w:val="Compact"/>
              <w:jc w:val="left"/>
            </w:pPr>
            <w:r>
              <w:t xml:space="preserve">Network Software</w:t>
            </w:r>
          </w:p>
        </w:tc>
        <w:tc>
          <w:p>
            <w:pPr>
              <w:pStyle w:val="Compact"/>
              <w:jc w:val="left"/>
            </w:pPr>
            <w:r>
              <w:t xml:space="preserve">75–85%</w:t>
            </w:r>
          </w:p>
        </w:tc>
        <w:tc>
          <w:p>
            <w:pPr>
              <w:pStyle w:val="Compact"/>
              <w:jc w:val="left"/>
            </w:pPr>
            <w:r>
              <w:t xml:space="preserve">5–10%</w:t>
            </w:r>
          </w:p>
        </w:tc>
        <w:tc>
          <w:p>
            <w:pPr>
              <w:pStyle w:val="Compact"/>
              <w:jc w:val="left"/>
            </w:pPr>
            <w:r>
              <w:t xml:space="preserve">~80–90%</w:t>
            </w:r>
          </w:p>
        </w:tc>
        <w:tc>
          <w:p>
            <w:pPr>
              <w:pStyle w:val="Compact"/>
              <w:jc w:val="left"/>
            </w:pPr>
            <w:r>
              <w:t xml:space="preserve">Membership/network subscription; minimal one-time</w:t>
            </w:r>
          </w:p>
        </w:tc>
      </w:tr>
      <w:tr>
        <w:tc>
          <w:p>
            <w:pPr>
              <w:pStyle w:val="Compact"/>
              <w:jc w:val="left"/>
            </w:pPr>
            <w:r>
              <w:t xml:space="preserve">Technology Products</w:t>
            </w:r>
          </w:p>
        </w:tc>
        <w:tc>
          <w:p>
            <w:pPr>
              <w:pStyle w:val="Compact"/>
              <w:jc w:val="left"/>
            </w:pPr>
            <w:r>
              <w:t xml:space="preserve">20–25%</w:t>
            </w:r>
          </w:p>
        </w:tc>
        <w:tc>
          <w:p>
            <w:pPr>
              <w:pStyle w:val="Compact"/>
              <w:jc w:val="left"/>
            </w:pPr>
            <w:r>
              <w:t xml:space="preserve">10–15%</w:t>
            </w:r>
          </w:p>
        </w:tc>
        <w:tc>
          <w:p>
            <w:pPr>
              <w:pStyle w:val="Compact"/>
              <w:jc w:val="left"/>
            </w:pPr>
            <w:r>
              <w:t xml:space="preserve">~30–40%</w:t>
            </w:r>
          </w:p>
        </w:tc>
        <w:tc>
          <w:p>
            <w:pPr>
              <w:pStyle w:val="Compact"/>
              <w:jc w:val="left"/>
            </w:pPr>
            <w:r>
              <w:t xml:space="preserve">Hardware-centric; product sales largest component</w:t>
            </w:r>
          </w:p>
        </w:tc>
      </w:tr>
    </w:tbl>
    <w:p>
      <w:pPr>
        <w:pStyle w:val="BodyText"/>
      </w:pPr>
      <w:r>
        <w:rPr>
          <w:b/>
        </w:rPr>
        <w:t xml:space="preserve">Embedded Quality Metrics:</w:t>
      </w:r>
      <w:r>
        <w:t xml:space="preserve"> </w:t>
      </w:r>
      <w:r>
        <w:t xml:space="preserve">-</w:t>
      </w:r>
      <w:r>
        <w:t xml:space="preserve"> </w:t>
      </w:r>
      <w:r>
        <w:rPr>
          <w:b/>
        </w:rPr>
        <w:t xml:space="preserve">RPO/Backlog Growth:</w:t>
      </w:r>
      <w:r>
        <w:t xml:space="preserve"> </w:t>
      </w:r>
      <w:r>
        <w:t xml:space="preserve">+9.5% YoY, supporting high-confidence revenue visibility [10-K].</w:t>
      </w:r>
      <w:r>
        <w:t xml:space="preserve"> </w:t>
      </w:r>
      <w:r>
        <w:t xml:space="preserve">-</w:t>
      </w:r>
      <w:r>
        <w:t xml:space="preserve"> </w:t>
      </w:r>
      <w:r>
        <w:rPr>
          <w:b/>
        </w:rPr>
        <w:t xml:space="preserve">Organic Recurring Growth:</w:t>
      </w:r>
      <w:r>
        <w:t xml:space="preserve"> </w:t>
      </w:r>
      <w:r>
        <w:t xml:space="preserve">+6% YoY, outpacing total organic growth of ~6%, indicating mix shift toward recurring [Earnings slides].</w:t>
      </w:r>
      <w:r>
        <w:t xml:space="preserve"> </w:t>
      </w:r>
      <w:r>
        <w:t xml:space="preserve">-</w:t>
      </w:r>
      <w:r>
        <w:t xml:space="preserve"> </w:t>
      </w:r>
      <w:r>
        <w:rPr>
          <w:b/>
        </w:rPr>
        <w:t xml:space="preserve">Deferred Revenue:</w:t>
      </w:r>
      <w:r>
        <w:t xml:space="preserve"> </w:t>
      </w:r>
      <w:r>
        <w:t xml:space="preserve">$2,078M ($1,907M current + $171M non-current) provides ~$500M–$650M quarterly revenue floor [10-K].</w:t>
      </w:r>
    </w:p>
    <w:p>
      <w:pPr>
        <w:pStyle w:val="BodyText"/>
      </w:pPr>
      <w:r>
        <w:rPr>
          <w:b/>
        </w:rPr>
        <w:t xml:space="preserve">Investor Implication:</w:t>
      </w:r>
      <w:r>
        <w:t xml:space="preserve"> </w:t>
      </w:r>
      <w:r>
        <w:t xml:space="preserve">67% recurring/reoccurring base with 12-month forward visibility via RPO ($5.2B) and deferred revenue ($2.1B) creates significant downside protection and enables predictable 5–6% organic growth guidance with low execution risk.</w:t>
      </w:r>
    </w:p>
    <w:p>
      <w:r>
        <w:pict>
          <v:rect style="width:0;height:1.5pt" o:hralign="center" o:hrstd="t" o:hr="t"/>
        </w:pict>
      </w:r>
    </w:p>
    <w:p>
      <w:pPr>
        <w:pStyle w:val="Heading3"/>
      </w:pPr>
      <w:bookmarkStart w:id="52" w:name="X998bed8845f49ebcb623db2c1185951e495e173"/>
      <w:r>
        <w:t xml:space="preserve">1D. Margin Sustainability and Scale Economics</w:t>
      </w:r>
      <w:bookmarkEnd w:id="52"/>
    </w:p>
    <w:p>
      <w:pPr>
        <w:pStyle w:val="FirstParagraph"/>
      </w:pPr>
      <w:r>
        <w:rPr>
          <w:b/>
        </w:rPr>
        <w:t xml:space="preserve">Gross Margin:</w:t>
      </w:r>
      <w:r>
        <w:t xml:space="preserve"> </w:t>
      </w:r>
      <w:r>
        <w:t xml:space="preserve">- FY2025: 69.2% [10-K]</w:t>
      </w:r>
      <w:r>
        <w:t xml:space="preserve"> </w:t>
      </w:r>
      <w:r>
        <w:t xml:space="preserve">- FY2024: 69.3% [10-K]</w:t>
      </w:r>
      <w:r>
        <w:t xml:space="preserve"> </w:t>
      </w:r>
      <w:r>
        <w:t xml:space="preserve">- FY2023: 69.7% [10-K]</w:t>
      </w:r>
    </w:p>
    <w:p>
      <w:pPr>
        <w:pStyle w:val="BodyText"/>
      </w:pPr>
      <w:r>
        <w:rPr>
          <w:b/>
        </w:rPr>
        <w:t xml:space="preserve">Observation:</w:t>
      </w:r>
      <w:r>
        <w:t xml:space="preserve"> </w:t>
      </w:r>
      <w:r>
        <w:t xml:space="preserve">Margin compression of 50 bps (FY2023 → FY2025) reflects acquisition mix shift toward lower-margin Application Software (+10% M&amp;A contribution in FY2025) and Technology Products. However, core EBITDA margin +30 bps YoY in FY2025 suggests operational leverage offsetting acquisition dilution [Earnings slides].</w:t>
      </w:r>
    </w:p>
    <w:p>
      <w:pPr>
        <w:pStyle w:val="BodyText"/>
      </w:pPr>
      <w:r>
        <w:rPr>
          <w:b/>
        </w:rPr>
        <w:t xml:space="preserve">Operating Leverage (EBITDA Conversion):</w:t>
      </w:r>
    </w:p>
    <w:p>
      <w:pPr>
        <w:pStyle w:val="BodyText"/>
      </w:pPr>
      <m:oMathPara>
        <m:oMathParaPr>
          <m:jc m:val="center"/>
        </m:oMathParaPr>
        <m:oMath>
          <m:r>
            <m:rPr>
              <m:nor/>
              <m:sty m:val="p"/>
            </m:rPr>
            <m:t>Adj. EBITDA Margin (FY2025)</m:t>
          </m:r>
          <m:r>
            <m:t>=</m:t>
          </m:r>
          <m:f>
            <m:fPr>
              <m:type m:val="bar"/>
            </m:fPr>
            <m:num>
              <m:r>
                <m:t>$</m:t>
              </m:r>
              <m:r>
                <m:t>3</m:t>
              </m:r>
              <m:r>
                <m:t>,</m:t>
              </m:r>
              <m:r>
                <m:t>143</m:t>
              </m:r>
              <m:r>
                <m:t>M</m:t>
              </m:r>
            </m:num>
            <m:den>
              <m:r>
                <m:t>$</m:t>
              </m:r>
              <m:r>
                <m:t>7</m:t>
              </m:r>
              <m:r>
                <m:t>,</m:t>
              </m:r>
              <m:r>
                <m:t>902.5</m:t>
              </m:r>
              <m:r>
                <m:t>M</m:t>
              </m:r>
            </m:den>
          </m:f>
          <m:r>
            <m:t>=</m:t>
          </m:r>
          <m:r>
            <m:t>39.8</m:t>
          </m:r>
          <m:r>
            <m:t>%</m:t>
          </m:r>
        </m:oMath>
      </m:oMathPara>
    </w:p>
    <w:p>
      <w:pPr>
        <w:pStyle w:val="FirstParagraph"/>
      </w:pPr>
      <m:oMathPara>
        <m:oMathParaPr>
          <m:jc m:val="center"/>
        </m:oMathParaPr>
        <m:oMath>
          <m:r>
            <m:rPr>
              <m:nor/>
              <m:sty m:val="p"/>
            </m:rPr>
            <m:t>Organic EBITDA Growth (FY2025)</m:t>
          </m:r>
          <m:r>
            <m:t>=</m:t>
          </m:r>
          <m:r>
            <m:rPr>
              <m:nor/>
              <m:sty m:val="p"/>
            </m:rPr>
            <m:t>est. </m:t>
          </m:r>
          <m:r>
            <m:t>+</m:t>
          </m:r>
          <m:r>
            <m:t>200</m:t>
          </m:r>
          <m:r>
            <m:rPr>
              <m:nor/>
              <m:sty m:val="p"/>
            </m:rPr>
            <m:t> bps (from core margin expansion)</m:t>
          </m:r>
        </m:oMath>
      </m:oMathPara>
    </w:p>
    <w:p>
      <w:pPr>
        <w:pStyle w:val="FirstParagraph"/>
      </w:pPr>
      <w:r>
        <w:rPr>
          <w:b/>
        </w:rPr>
        <w:t xml:space="preserve">SBC Impact (Drag on Reported EPS):</w:t>
      </w:r>
    </w:p>
    <w:tbl>
      <w:tblPr>
        <w:tblStyle w:val="Table"/>
        <w:tblW w:type="pct" w:w="0.0"/>
        <w:tblLook w:firstRow="1"/>
      </w:tblPr>
      <w:tblGrid/>
      <w:tr>
        <w:trPr>
          <w:cnfStyle w:firstRow="1"/>
        </w:trPr>
        <w:tc>
          <w:tcPr>
            <w:tcBorders>
              <w:bottom w:val="single"/>
            </w:tcBorders>
            <w:vAlign w:val="bottom"/>
          </w:tcPr>
          <w:p>
            <w:pPr>
              <w:pStyle w:val="Compact"/>
              <w:jc w:val="left"/>
            </w:pPr>
            <w:r>
              <w:t xml:space="preserve">Year</w:t>
            </w:r>
          </w:p>
        </w:tc>
        <w:tc>
          <w:tcPr>
            <w:tcBorders>
              <w:bottom w:val="single"/>
            </w:tcBorders>
            <w:vAlign w:val="bottom"/>
          </w:tcPr>
          <w:p>
            <w:pPr>
              <w:pStyle w:val="Compact"/>
              <w:jc w:val="left"/>
            </w:pPr>
            <w:r>
              <w:t xml:space="preserve">SBC ($M)</w:t>
            </w:r>
          </w:p>
        </w:tc>
        <w:tc>
          <w:tcPr>
            <w:tcBorders>
              <w:bottom w:val="single"/>
            </w:tcBorders>
            <w:vAlign w:val="bottom"/>
          </w:tcPr>
          <w:p>
            <w:pPr>
              <w:pStyle w:val="Compact"/>
              <w:jc w:val="left"/>
            </w:pPr>
            <w:r>
              <w:t xml:space="preserve">SBC as % Revenue</w:t>
            </w:r>
          </w:p>
        </w:tc>
        <w:tc>
          <w:tcPr>
            <w:tcBorders>
              <w:bottom w:val="single"/>
            </w:tcBorders>
            <w:vAlign w:val="bottom"/>
          </w:tcPr>
          <w:p>
            <w:pPr>
              <w:pStyle w:val="Compact"/>
              <w:jc w:val="left"/>
            </w:pPr>
            <w:r>
              <w:t xml:space="preserve">Impact on DEPS</w:t>
            </w:r>
          </w:p>
        </w:tc>
      </w:tr>
      <w:tr>
        <w:tc>
          <w:p>
            <w:pPr>
              <w:pStyle w:val="Compact"/>
              <w:jc w:val="left"/>
            </w:pPr>
            <w:r>
              <w:t xml:space="preserve">FY2025</w:t>
            </w:r>
          </w:p>
        </w:tc>
        <w:tc>
          <w:p>
            <w:pPr>
              <w:pStyle w:val="Compact"/>
              <w:jc w:val="left"/>
            </w:pPr>
            <w:r>
              <w:t xml:space="preserve">$166.3</w:t>
            </w:r>
          </w:p>
        </w:tc>
        <w:tc>
          <w:p>
            <w:pPr>
              <w:pStyle w:val="Compact"/>
              <w:jc w:val="left"/>
            </w:pPr>
            <w:r>
              <w:t xml:space="preserve">2.1%</w:t>
            </w:r>
          </w:p>
        </w:tc>
        <w:tc>
          <w:p>
            <w:pPr>
              <w:pStyle w:val="Compact"/>
              <w:jc w:val="left"/>
            </w:pPr>
            <w:r>
              <w:t xml:space="preserve">~$1.54/share drag (166.3M / 108.2M)</w:t>
            </w:r>
          </w:p>
        </w:tc>
      </w:tr>
      <w:tr>
        <w:tc>
          <w:p>
            <w:pPr>
              <w:pStyle w:val="Compact"/>
              <w:jc w:val="left"/>
            </w:pPr>
            <w:r>
              <w:t xml:space="preserve">FY2024</w:t>
            </w:r>
          </w:p>
        </w:tc>
        <w:tc>
          <w:p>
            <w:pPr>
              <w:pStyle w:val="Compact"/>
              <w:jc w:val="left"/>
            </w:pPr>
            <w:r>
              <w:t xml:space="preserve">$145.9</w:t>
            </w:r>
          </w:p>
        </w:tc>
        <w:tc>
          <w:p>
            <w:pPr>
              <w:pStyle w:val="Compact"/>
              <w:jc w:val="left"/>
            </w:pPr>
            <w:r>
              <w:t xml:space="preserve">2.1%</w:t>
            </w:r>
          </w:p>
        </w:tc>
        <w:tc>
          <w:p>
            <w:pPr>
              <w:pStyle w:val="Compact"/>
              <w:jc w:val="left"/>
            </w:pPr>
            <w:r>
              <w:t xml:space="preserve">~$1.35/share drag (est.)</w:t>
            </w:r>
          </w:p>
        </w:tc>
      </w:tr>
      <w:tr>
        <w:tc>
          <w:p>
            <w:pPr>
              <w:pStyle w:val="Compact"/>
              <w:jc w:val="left"/>
            </w:pPr>
            <w:r>
              <w:t xml:space="preserve">FY2023</w:t>
            </w:r>
          </w:p>
        </w:tc>
        <w:tc>
          <w:p>
            <w:pPr>
              <w:pStyle w:val="Compact"/>
              <w:jc w:val="left"/>
            </w:pPr>
            <w:r>
              <w:t xml:space="preserve">$123.5</w:t>
            </w:r>
          </w:p>
        </w:tc>
        <w:tc>
          <w:p>
            <w:pPr>
              <w:pStyle w:val="Compact"/>
              <w:jc w:val="left"/>
            </w:pPr>
            <w:r>
              <w:t xml:space="preserve">2.0%</w:t>
            </w:r>
          </w:p>
        </w:tc>
        <w:tc>
          <w:p>
            <w:pPr>
              <w:pStyle w:val="Compact"/>
              <w:jc w:val="left"/>
            </w:pPr>
            <w:r>
              <w:t xml:space="preserve">~$1.14/share drag (est.)</w:t>
            </w:r>
          </w:p>
        </w:tc>
      </w:tr>
    </w:tbl>
    <w:p>
      <w:pPr>
        <w:pStyle w:val="BodyText"/>
      </w:pPr>
      <w:r>
        <w:rPr>
          <w:b/>
        </w:rPr>
        <w:t xml:space="preserve">Conclusion:</w:t>
      </w:r>
      <w:r>
        <w:t xml:space="preserve"> </w:t>
      </w:r>
      <w:r>
        <w:t xml:space="preserve">SBC is creeping as a % of net earnings; 2.1% of revenue run rate is at the lower end for software peers, suggesting room to leverage equity grants if SBC inflation moderates.</w:t>
      </w:r>
    </w:p>
    <w:p>
      <w:r>
        <w:pict>
          <v:rect style="width:0;height:1.5pt" o:hralign="center" o:hrstd="t" o:hr="t"/>
        </w:pict>
      </w:r>
    </w:p>
    <w:p>
      <w:pPr>
        <w:pStyle w:val="Heading2"/>
      </w:pPr>
      <w:bookmarkStart w:id="53" w:name="Xdbfe1d1edb06e6c14fb055b1ec318be4a2c310c"/>
      <w:r>
        <w:t xml:space="preserve">SECTION 2: MANAGEMENT QUALITY — ACTIONS OVER WORDS</w:t>
      </w:r>
      <w:bookmarkEnd w:id="53"/>
    </w:p>
    <w:p>
      <w:pPr>
        <w:pStyle w:val="Heading3"/>
      </w:pPr>
      <w:bookmarkStart w:id="54" w:name="a.-executive-leadership-and-tenure"/>
      <w:r>
        <w:t xml:space="preserve">2A. Executive Leadership and Tenure</w:t>
      </w:r>
      <w:bookmarkEnd w:id="54"/>
    </w:p>
    <w:p>
      <w:pPr>
        <w:pStyle w:val="FirstParagraph"/>
      </w:pPr>
      <w:r>
        <w:rPr>
          <w:b/>
        </w:rPr>
        <w:t xml:space="preserve">CEO: Neil Hunn</w:t>
      </w:r>
      <w:r>
        <w:t xml:space="preserve"> </w:t>
      </w:r>
      <w:r>
        <w:t xml:space="preserve">(since August 2018, ~6.5 years)</w:t>
      </w:r>
      <w:r>
        <w:t xml:space="preserve"> </w:t>
      </w:r>
      <w:r>
        <w:t xml:space="preserve">- Prior role: CFO at ROP (2009–2018), overseeing ~8 years of transformational M&amp;A and margin expansion.</w:t>
      </w:r>
      <w:r>
        <w:t xml:space="preserve"> </w:t>
      </w:r>
      <w:r>
        <w:t xml:space="preserve">- Track record: Guided software transformation (2009–2018), Indicor divestiture negotiation (2022), and post-divestiture M&amp;A acceleration ($8.96B in 3 years).</w:t>
      </w:r>
      <w:r>
        <w:t xml:space="preserve"> </w:t>
      </w:r>
      <w:r>
        <w:t xml:space="preserve">- Compensation (FY2025): ⚠️ [USER INPUT REQUIRED — specific salary, bonus, equity awards not provided in supplied data].</w:t>
      </w:r>
    </w:p>
    <w:p>
      <w:pPr>
        <w:pStyle w:val="BodyText"/>
      </w:pPr>
      <w:r>
        <w:rPr>
          <w:b/>
        </w:rPr>
        <w:t xml:space="preserve">CFO: Jason Conley</w:t>
      </w:r>
      <w:r>
        <w:t xml:space="preserve"> </w:t>
      </w:r>
      <w:r>
        <w:t xml:space="preserve">(since February 2023, ~3 years)</w:t>
      </w:r>
      <w:r>
        <w:t xml:space="preserve"> </w:t>
      </w:r>
      <w:r>
        <w:t xml:space="preserve">- Prior role: Finance leadership at Fortune 500 industrials.</w:t>
      </w:r>
      <w:r>
        <w:t xml:space="preserve"> </w:t>
      </w:r>
      <w:r>
        <w:t xml:space="preserve">- Track record: Capital allocation framework (share buybacks Oct 2025, 3-year M&amp;A deployment), debt management (net debt/EBITDA maintained at 2.9x despite M&amp;A surge).</w:t>
      </w:r>
      <w:r>
        <w:t xml:space="preserve"> </w:t>
      </w:r>
      <w:r>
        <w:t xml:space="preserve">- Compensation (FY2025): ⚠️ [USER INPUT REQUIRED].</w:t>
      </w:r>
    </w:p>
    <w:p>
      <w:pPr>
        <w:pStyle w:val="BodyText"/>
      </w:pPr>
      <w:r>
        <w:rPr>
          <w:b/>
        </w:rPr>
        <w:t xml:space="preserve">Board Composition:</w:t>
      </w:r>
      <w:r>
        <w:t xml:space="preserve"> </w:t>
      </w:r>
      <w:r>
        <w:t xml:space="preserve">⚠️ [USER INPUT REQUIRED — detailed board slate not provided].</w:t>
      </w:r>
    </w:p>
    <w:p>
      <w:r>
        <w:pict>
          <v:rect style="width:0;height:1.5pt" o:hralign="center" o:hrstd="t" o:hr="t"/>
        </w:pict>
      </w:r>
    </w:p>
    <w:p>
      <w:pPr>
        <w:pStyle w:val="Heading3"/>
      </w:pPr>
      <w:bookmarkStart w:id="55" w:name="b.-capital-allocation-and-roic-analysis"/>
      <w:r>
        <w:t xml:space="preserve">2B. Capital Allocation and ROIC Analysis</w:t>
      </w:r>
      <w:bookmarkEnd w:id="55"/>
    </w:p>
    <w:p>
      <w:pPr>
        <w:pStyle w:val="Heading4"/>
      </w:pPr>
      <w:bookmarkStart w:id="56" w:name="X0fa76511580e523f07c9b65f7c1988c379396a8"/>
      <w:r>
        <w:rPr>
          <w:b/>
        </w:rPr>
        <w:t xml:space="preserve">Deployment Framework (3-Year Cumulative, FY2023–FY2025)</w:t>
      </w:r>
      <w:bookmarkEnd w:id="56"/>
    </w:p>
    <w:p>
      <w:pPr>
        <w:pStyle w:val="FirstParagraph"/>
      </w:pPr>
      <w:r>
        <w:rPr>
          <w:b/>
        </w:rPr>
        <w:t xml:space="preserve">Total Capital Deployed:</w:t>
      </w:r>
      <w:r>
        <w:t xml:space="preserve"> </w:t>
      </w:r>
      <w:r>
        <w:t xml:space="preserve">~$8.96B</w:t>
      </w:r>
    </w:p>
    <w:tbl>
      <w:tblPr>
        <w:tblStyle w:val="Table"/>
        <w:tblW w:type="pct" w:w="5000.0"/>
        <w:tblLook w:firstRow="1"/>
      </w:tblPr>
      <w:tblGrid>
        <w:gridCol w:w="2084"/>
        <w:gridCol w:w="1667"/>
        <w:gridCol w:w="2501"/>
        <w:gridCol w:w="1667"/>
      </w:tblGrid>
      <w:tr>
        <w:trPr>
          <w:cnfStyle w:firstRow="1"/>
        </w:trPr>
        <w:tc>
          <w:tcPr>
            <w:tcBorders>
              <w:bottom w:val="single"/>
            </w:tcBorders>
            <w:vAlign w:val="bottom"/>
          </w:tcPr>
          <w:p>
            <w:pPr>
              <w:pStyle w:val="Compact"/>
              <w:jc w:val="left"/>
            </w:pPr>
            <w:r>
              <w:t xml:space="preserve">Category</w:t>
            </w:r>
          </w:p>
        </w:tc>
        <w:tc>
          <w:tcPr>
            <w:tcBorders>
              <w:bottom w:val="single"/>
            </w:tcBorders>
            <w:vAlign w:val="bottom"/>
          </w:tcPr>
          <w:p>
            <w:pPr>
              <w:pStyle w:val="Compact"/>
              <w:jc w:val="left"/>
            </w:pPr>
            <w:r>
              <w:t xml:space="preserve">Amount</w:t>
            </w:r>
          </w:p>
        </w:tc>
        <w:tc>
          <w:tcPr>
            <w:tcBorders>
              <w:bottom w:val="single"/>
            </w:tcBorders>
            <w:vAlign w:val="bottom"/>
          </w:tcPr>
          <w:p>
            <w:pPr>
              <w:pStyle w:val="Compact"/>
              <w:jc w:val="left"/>
            </w:pPr>
            <w:r>
              <w:t xml:space="preserve">% of Total</w:t>
            </w:r>
          </w:p>
        </w:tc>
        <w:tc>
          <w:tcPr>
            <w:tcBorders>
              <w:bottom w:val="single"/>
            </w:tcBorders>
            <w:vAlign w:val="bottom"/>
          </w:tcPr>
          <w:p>
            <w:pPr>
              <w:pStyle w:val="Compact"/>
              <w:jc w:val="left"/>
            </w:pPr>
            <w:r>
              <w:t xml:space="preserve">Source</w:t>
            </w:r>
          </w:p>
        </w:tc>
      </w:tr>
      <w:tr>
        <w:tc>
          <w:p>
            <w:pPr>
              <w:pStyle w:val="Compact"/>
              <w:jc w:val="left"/>
            </w:pPr>
            <w:r>
              <w:t xml:space="preserve">M&amp;A Acquisitions</w:t>
            </w:r>
          </w:p>
        </w:tc>
        <w:tc>
          <w:p>
            <w:pPr>
              <w:pStyle w:val="Compact"/>
              <w:jc w:val="left"/>
            </w:pPr>
            <w:r>
              <w:t xml:space="preserve">~$8.46B</w:t>
            </w:r>
          </w:p>
        </w:tc>
        <w:tc>
          <w:p>
            <w:pPr>
              <w:pStyle w:val="Compact"/>
              <w:jc w:val="left"/>
            </w:pPr>
            <w:r>
              <w:t xml:space="preserve">94.4%</w:t>
            </w:r>
          </w:p>
        </w:tc>
        <w:tc>
          <w:p>
            <w:pPr>
              <w:pStyle w:val="Compact"/>
              <w:jc w:val="left"/>
            </w:pPr>
            <w:r>
              <w:t xml:space="preserve">[Earnings slides]</w:t>
            </w:r>
          </w:p>
        </w:tc>
      </w:tr>
      <w:tr>
        <w:tc>
          <w:p>
            <w:pPr>
              <w:pStyle w:val="Compact"/>
              <w:jc w:val="left"/>
            </w:pPr>
            <w:r>
              <w:t xml:space="preserve">Share Repurchases</w:t>
            </w:r>
          </w:p>
        </w:tc>
        <w:tc>
          <w:p>
            <w:pPr>
              <w:pStyle w:val="Compact"/>
              <w:jc w:val="left"/>
            </w:pPr>
            <w:r>
              <w:t xml:space="preserve">$500M (FY2025 only)</w:t>
            </w:r>
          </w:p>
        </w:tc>
        <w:tc>
          <w:p>
            <w:pPr>
              <w:pStyle w:val="Compact"/>
              <w:jc w:val="left"/>
            </w:pPr>
            <w:r>
              <w:t xml:space="preserve">5.6%</w:t>
            </w:r>
          </w:p>
        </w:tc>
        <w:tc>
          <w:p>
            <w:pPr>
              <w:pStyle w:val="Compact"/>
              <w:jc w:val="left"/>
            </w:pPr>
            <w:r>
              <w:t xml:space="preserve">[Earnings slides]</w:t>
            </w:r>
          </w:p>
        </w:tc>
      </w:tr>
      <w:tr>
        <w:tc>
          <w:p>
            <w:pPr>
              <w:pStyle w:val="Compact"/>
              <w:jc w:val="left"/>
            </w:pPr>
            <w:r>
              <w:t xml:space="preserve">Dividends Paid</w:t>
            </w:r>
          </w:p>
        </w:tc>
        <w:tc>
          <w:p>
            <w:pPr>
              <w:pStyle w:val="Compact"/>
              <w:jc w:val="left"/>
            </w:pPr>
            <w:r>
              <w:t xml:space="preserve">~$900M (est., $0.70–0.91/share × 108M shares)</w:t>
            </w:r>
          </w:p>
        </w:tc>
        <w:tc>
          <w:p>
            <w:pPr>
              <w:pStyle w:val="Compact"/>
              <w:jc w:val="left"/>
            </w:pPr>
            <w:r>
              <w:t xml:space="preserve">—</w:t>
            </w:r>
          </w:p>
        </w:tc>
        <w:tc>
          <w:p>
            <w:pPr>
              <w:pStyle w:val="Compact"/>
              <w:jc w:val="left"/>
            </w:pPr>
            <w:r>
              <w:t xml:space="preserve">[Earnings slides]</w:t>
            </w:r>
          </w:p>
        </w:tc>
      </w:tr>
    </w:tbl>
    <w:p>
      <w:pPr>
        <w:pStyle w:val="BodyText"/>
      </w:pPr>
      <w:r>
        <w:rPr>
          <w:b/>
        </w:rPr>
        <w:t xml:space="preserve">M&amp;A Vintage Analysis:</w:t>
      </w:r>
    </w:p>
    <w:tbl>
      <w:tblPr>
        <w:tblStyle w:val="Table"/>
        <w:tblW w:type="pct" w:w="0.0"/>
        <w:tblLook w:firstRow="1"/>
      </w:tblPr>
      <w:tblGrid/>
      <w:tr>
        <w:trPr>
          <w:cnfStyle w:firstRow="1"/>
        </w:trPr>
        <w:tc>
          <w:tcPr>
            <w:tcBorders>
              <w:bottom w:val="single"/>
            </w:tcBorders>
            <w:vAlign w:val="bottom"/>
          </w:tcPr>
          <w:p>
            <w:pPr>
              <w:pStyle w:val="Compact"/>
              <w:jc w:val="left"/>
            </w:pPr>
            <w:r>
              <w:t xml:space="preserve">Acquisition</w:t>
            </w:r>
          </w:p>
        </w:tc>
        <w:tc>
          <w:tcPr>
            <w:tcBorders>
              <w:bottom w:val="single"/>
            </w:tcBorders>
            <w:vAlign w:val="bottom"/>
          </w:tcPr>
          <w:p>
            <w:pPr>
              <w:pStyle w:val="Compact"/>
              <w:jc w:val="left"/>
            </w:pPr>
            <w:r>
              <w:t xml:space="preserve">Year</w:t>
            </w:r>
          </w:p>
        </w:tc>
        <w:tc>
          <w:tcPr>
            <w:tcBorders>
              <w:bottom w:val="single"/>
            </w:tcBorders>
            <w:vAlign w:val="bottom"/>
          </w:tcPr>
          <w:p>
            <w:pPr>
              <w:pStyle w:val="Compact"/>
              <w:jc w:val="left"/>
            </w:pPr>
            <w:r>
              <w:t xml:space="preserve">Amount</w:t>
            </w:r>
          </w:p>
        </w:tc>
        <w:tc>
          <w:tcPr>
            <w:tcBorders>
              <w:bottom w:val="single"/>
            </w:tcBorders>
            <w:vAlign w:val="bottom"/>
          </w:tcPr>
          <w:p>
            <w:pPr>
              <w:pStyle w:val="Compact"/>
              <w:jc w:val="left"/>
            </w:pPr>
            <w:r>
              <w:t xml:space="preserve">Est. EBITDA</w:t>
            </w:r>
          </w:p>
        </w:tc>
        <w:tc>
          <w:tcPr>
            <w:tcBorders>
              <w:bottom w:val="single"/>
            </w:tcBorders>
            <w:vAlign w:val="bottom"/>
          </w:tcPr>
          <w:p>
            <w:pPr>
              <w:pStyle w:val="Compact"/>
              <w:jc w:val="left"/>
            </w:pPr>
            <w:r>
              <w:t xml:space="preserve">Multiple (est. EV/EBITDA)</w:t>
            </w:r>
          </w:p>
        </w:tc>
      </w:tr>
      <w:tr>
        <w:tc>
          <w:p>
            <w:pPr>
              <w:pStyle w:val="Compact"/>
              <w:jc w:val="left"/>
            </w:pPr>
            <w:r>
              <w:t xml:space="preserve">Syntellis</w:t>
            </w:r>
          </w:p>
        </w:tc>
        <w:tc>
          <w:p>
            <w:pPr>
              <w:pStyle w:val="Compact"/>
              <w:jc w:val="left"/>
            </w:pPr>
            <w:r>
              <w:t xml:space="preserve">2023</w:t>
            </w:r>
          </w:p>
        </w:tc>
        <w:tc>
          <w:p>
            <w:pPr>
              <w:pStyle w:val="Compact"/>
              <w:jc w:val="left"/>
            </w:pPr>
            <w:r>
              <w:t xml:space="preserve">$1,380M</w:t>
            </w:r>
          </w:p>
        </w:tc>
        <w:tc>
          <w:p>
            <w:pPr>
              <w:pStyle w:val="Compact"/>
              <w:jc w:val="left"/>
            </w:pPr>
            <w:r>
              <w:t xml:space="preserve">$190M</w:t>
            </w:r>
          </w:p>
        </w:tc>
        <w:tc>
          <w:p>
            <w:pPr>
              <w:pStyle w:val="Compact"/>
              <w:jc w:val="left"/>
            </w:pPr>
            <w:r>
              <w:t xml:space="preserve">7.3x</w:t>
            </w:r>
          </w:p>
        </w:tc>
      </w:tr>
      <w:tr>
        <w:tc>
          <w:p>
            <w:pPr>
              <w:pStyle w:val="Compact"/>
              <w:jc w:val="left"/>
            </w:pPr>
            <w:r>
              <w:t xml:space="preserve">Procare</w:t>
            </w:r>
          </w:p>
        </w:tc>
        <w:tc>
          <w:p>
            <w:pPr>
              <w:pStyle w:val="Compact"/>
              <w:jc w:val="left"/>
            </w:pPr>
            <w:r>
              <w:t xml:space="preserve">2024</w:t>
            </w:r>
          </w:p>
        </w:tc>
        <w:tc>
          <w:p>
            <w:pPr>
              <w:pStyle w:val="Compact"/>
              <w:jc w:val="left"/>
            </w:pPr>
            <w:r>
              <w:t xml:space="preserve">$1,860M</w:t>
            </w:r>
          </w:p>
        </w:tc>
        <w:tc>
          <w:p>
            <w:pPr>
              <w:pStyle w:val="Compact"/>
              <w:jc w:val="left"/>
            </w:pPr>
            <w:r>
              <w:t xml:space="preserve">$260M</w:t>
            </w:r>
          </w:p>
        </w:tc>
        <w:tc>
          <w:p>
            <w:pPr>
              <w:pStyle w:val="Compact"/>
              <w:jc w:val="left"/>
            </w:pPr>
            <w:r>
              <w:t xml:space="preserve">7.2x</w:t>
            </w:r>
          </w:p>
        </w:tc>
      </w:tr>
      <w:tr>
        <w:tc>
          <w:p>
            <w:pPr>
              <w:pStyle w:val="Compact"/>
              <w:jc w:val="left"/>
            </w:pPr>
            <w:r>
              <w:t xml:space="preserve">Transact/CBORD</w:t>
            </w:r>
          </w:p>
        </w:tc>
        <w:tc>
          <w:p>
            <w:pPr>
              <w:pStyle w:val="Compact"/>
              <w:jc w:val="left"/>
            </w:pPr>
            <w:r>
              <w:t xml:space="preserve">2024</w:t>
            </w:r>
          </w:p>
        </w:tc>
        <w:tc>
          <w:p>
            <w:pPr>
              <w:pStyle w:val="Compact"/>
              <w:jc w:val="left"/>
            </w:pPr>
            <w:r>
              <w:t xml:space="preserve">$1,600M</w:t>
            </w:r>
          </w:p>
        </w:tc>
        <w:tc>
          <w:p>
            <w:pPr>
              <w:pStyle w:val="Compact"/>
              <w:jc w:val="left"/>
            </w:pPr>
            <w:r>
              <w:t xml:space="preserve">$220M</w:t>
            </w:r>
          </w:p>
        </w:tc>
        <w:tc>
          <w:p>
            <w:pPr>
              <w:pStyle w:val="Compact"/>
              <w:jc w:val="left"/>
            </w:pPr>
            <w:r>
              <w:t xml:space="preserve">7.3x</w:t>
            </w:r>
          </w:p>
        </w:tc>
      </w:tr>
      <w:tr>
        <w:tc>
          <w:p>
            <w:pPr>
              <w:pStyle w:val="Compact"/>
              <w:jc w:val="left"/>
            </w:pPr>
            <w:r>
              <w:t xml:space="preserve">CentralReach</w:t>
            </w:r>
          </w:p>
        </w:tc>
        <w:tc>
          <w:p>
            <w:pPr>
              <w:pStyle w:val="Compact"/>
              <w:jc w:val="left"/>
            </w:pPr>
            <w:r>
              <w:t xml:space="preserve">2025</w:t>
            </w:r>
          </w:p>
        </w:tc>
        <w:tc>
          <w:p>
            <w:pPr>
              <w:pStyle w:val="Compact"/>
              <w:jc w:val="left"/>
            </w:pPr>
            <w:r>
              <w:t xml:space="preserve">$1,850M</w:t>
            </w:r>
          </w:p>
        </w:tc>
        <w:tc>
          <w:p>
            <w:pPr>
              <w:pStyle w:val="Compact"/>
              <w:jc w:val="left"/>
            </w:pPr>
            <w:r>
              <w:t xml:space="preserve">$280M</w:t>
            </w:r>
          </w:p>
        </w:tc>
        <w:tc>
          <w:p>
            <w:pPr>
              <w:pStyle w:val="Compact"/>
              <w:jc w:val="left"/>
            </w:pPr>
            <w:r>
              <w:t xml:space="preserve">6.6x</w:t>
            </w:r>
          </w:p>
        </w:tc>
      </w:tr>
      <w:tr>
        <w:tc>
          <w:p>
            <w:pPr>
              <w:pStyle w:val="Compact"/>
              <w:jc w:val="left"/>
            </w:pPr>
            <w:r>
              <w:t xml:space="preserve">Subsplash</w:t>
            </w:r>
          </w:p>
        </w:tc>
        <w:tc>
          <w:p>
            <w:pPr>
              <w:pStyle w:val="Compact"/>
              <w:jc w:val="left"/>
            </w:pPr>
            <w:r>
              <w:t xml:space="preserve">2025</w:t>
            </w:r>
          </w:p>
        </w:tc>
        <w:tc>
          <w:p>
            <w:pPr>
              <w:pStyle w:val="Compact"/>
              <w:jc w:val="left"/>
            </w:pPr>
            <w:r>
              <w:t xml:space="preserve">$800M</w:t>
            </w:r>
          </w:p>
        </w:tc>
        <w:tc>
          <w:p>
            <w:pPr>
              <w:pStyle w:val="Compact"/>
              <w:jc w:val="left"/>
            </w:pPr>
            <w:r>
              <w:t xml:space="preserve">$120M</w:t>
            </w:r>
          </w:p>
        </w:tc>
        <w:tc>
          <w:p>
            <w:pPr>
              <w:pStyle w:val="Compact"/>
              <w:jc w:val="left"/>
            </w:pPr>
            <w:r>
              <w:t xml:space="preserve">6.7x</w:t>
            </w:r>
          </w:p>
        </w:tc>
      </w:tr>
      <w:tr>
        <w:tc>
          <w:p>
            <w:pPr>
              <w:pStyle w:val="Compact"/>
              <w:jc w:val="left"/>
            </w:pPr>
            <w:r>
              <w:t xml:space="preserve">Bolt-ons (3-yr)</w:t>
            </w:r>
          </w:p>
        </w:tc>
        <w:tc>
          <w:p>
            <w:pPr>
              <w:pStyle w:val="Compact"/>
              <w:jc w:val="left"/>
            </w:pPr>
            <w:r>
              <w:t xml:space="preserve">2023–2025</w:t>
            </w:r>
          </w:p>
        </w:tc>
        <w:tc>
          <w:p>
            <w:pPr>
              <w:pStyle w:val="Compact"/>
              <w:jc w:val="left"/>
            </w:pPr>
            <w:r>
              <w:t xml:space="preserve">$1,470M</w:t>
            </w:r>
          </w:p>
        </w:tc>
        <w:tc>
          <w:p>
            <w:pPr>
              <w:pStyle w:val="Compact"/>
              <w:jc w:val="left"/>
            </w:pPr>
            <w:r>
              <w:t xml:space="preserve">$220M</w:t>
            </w:r>
          </w:p>
        </w:tc>
        <w:tc>
          <w:p>
            <w:pPr>
              <w:pStyle w:val="Compact"/>
              <w:jc w:val="left"/>
            </w:pPr>
            <w:r>
              <w:t xml:space="preserve">6.7x</w:t>
            </w:r>
          </w:p>
        </w:tc>
      </w:tr>
      <w:tr>
        <w:tc>
          <w:p>
            <w:pPr>
              <w:pStyle w:val="Compact"/>
              <w:jc w:val="left"/>
            </w:pPr>
            <w:r>
              <w:rPr>
                <w:b/>
              </w:rPr>
              <w:t xml:space="preserve">Blended</w:t>
            </w:r>
          </w:p>
        </w:tc>
        <w:tc>
          <w:p>
            <w:pPr>
              <w:pStyle w:val="Compact"/>
              <w:jc w:val="left"/>
            </w:pPr>
            <w:r>
              <w:t xml:space="preserve">—</w:t>
            </w:r>
          </w:p>
        </w:tc>
        <w:tc>
          <w:p>
            <w:pPr>
              <w:pStyle w:val="Compact"/>
              <w:jc w:val="left"/>
            </w:pPr>
            <w:r>
              <w:rPr>
                <w:b/>
              </w:rPr>
              <w:t xml:space="preserve">$8,960M</w:t>
            </w:r>
          </w:p>
        </w:tc>
        <w:tc>
          <w:p>
            <w:pPr>
              <w:pStyle w:val="Compact"/>
              <w:jc w:val="left"/>
            </w:pPr>
            <w:r>
              <w:rPr>
                <w:b/>
              </w:rPr>
              <w:t xml:space="preserve">$1,290M</w:t>
            </w:r>
          </w:p>
        </w:tc>
        <w:tc>
          <w:p>
            <w:pPr>
              <w:pStyle w:val="Compact"/>
              <w:jc w:val="left"/>
            </w:pPr>
            <w:r>
              <w:rPr>
                <w:b/>
              </w:rPr>
              <w:t xml:space="preserve">6.9x</w:t>
            </w:r>
          </w:p>
        </w:tc>
      </w:tr>
    </w:tbl>
    <w:p>
      <w:pPr>
        <w:pStyle w:val="BodyText"/>
      </w:pPr>
      <w:r>
        <w:rPr>
          <w:b/>
        </w:rPr>
        <w:t xml:space="preserve">Implied Return Analysis:</w:t>
      </w:r>
    </w:p>
    <w:p>
      <w:pPr>
        <w:pStyle w:val="BodyText"/>
      </w:pPr>
      <w:r>
        <w:t xml:space="preserve">Assuming:</w:t>
      </w:r>
      <w:r>
        <w:t xml:space="preserve"> </w:t>
      </w:r>
      <w:r>
        <w:t xml:space="preserve">- Blended acquisition EBITDA at acquisition: $1,290M</w:t>
      </w:r>
      <w:r>
        <w:t xml:space="preserve"> </w:t>
      </w:r>
      <w:r>
        <w:t xml:space="preserve">- Entry multiple: 6.9x EV/EBITDA</w:t>
      </w:r>
      <w:r>
        <w:t xml:space="preserve"> </w:t>
      </w:r>
      <w:r>
        <w:t xml:space="preserve">- Organic EBITDA growth 4% post-acquisition (blended expectation)</w:t>
      </w:r>
      <w:r>
        <w:t xml:space="preserve"> </w:t>
      </w:r>
      <w:r>
        <w:t xml:space="preserve">- ROP’s standalone WACC: ~6.5% (assuming 60% equity, 40% debt, re = 9%, rd = 3%, tax rate 21%)</w:t>
      </w:r>
    </w:p>
    <w:p>
      <w:pPr>
        <w:pStyle w:val="BodyText"/>
      </w:pPr>
      <m:oMathPara>
        <m:oMathParaPr>
          <m:jc m:val="center"/>
        </m:oMathParaPr>
        <m:oMath>
          <m:r>
            <m:rPr>
              <m:nor/>
              <m:sty m:val="p"/>
            </m:rPr>
            <m:t>Unlevered FCF Yield (Day-1)</m:t>
          </m:r>
          <m:r>
            <m:t>=</m:t>
          </m:r>
          <m:f>
            <m:fPr>
              <m:type m:val="bar"/>
            </m:fPr>
            <m:num>
              <m:r>
                <m:t>$</m:t>
              </m:r>
              <m:r>
                <m:t>1</m:t>
              </m:r>
              <m:r>
                <m:t>,</m:t>
              </m:r>
              <m:r>
                <m:t>290</m:t>
              </m:r>
              <m:r>
                <m:t>M</m:t>
              </m:r>
              <m:r>
                <m:t>×</m:t>
              </m:r>
              <m:r>
                <m:t>0.60</m:t>
              </m:r>
              <m:r>
                <m:rPr>
                  <m:nor/>
                  <m:sty m:val="p"/>
                </m:rPr>
                <m:t> (unlevered FCF as % EBITDA)</m:t>
              </m:r>
            </m:num>
            <m:den>
              <m:r>
                <m:t>$</m:t>
              </m:r>
              <m:r>
                <m:t>8</m:t>
              </m:r>
              <m:r>
                <m:t>,</m:t>
              </m:r>
              <m:r>
                <m:t>960</m:t>
              </m:r>
              <m:r>
                <m:t>M</m:t>
              </m:r>
            </m:den>
          </m:f>
          <m:r>
            <m:t>≈</m:t>
          </m:r>
          <m:r>
            <m:t>8.6</m:t>
          </m:r>
          <m:r>
            <m:t>%</m:t>
          </m:r>
        </m:oMath>
      </m:oMathPara>
    </w:p>
    <w:p>
      <w:pPr>
        <w:pStyle w:val="FirstParagraph"/>
      </w:pPr>
      <w:r>
        <w:rPr>
          <w:b/>
        </w:rPr>
        <w:t xml:space="preserve">vs. Cost of Capital (6.5%):</w:t>
      </w:r>
      <w:r>
        <w:t xml:space="preserve"> </w:t>
      </w:r>
      <w:r>
        <w:t xml:space="preserve">Spread of +210 bps, supporting value creation</w:t>
      </w:r>
      <w:r>
        <w:t xml:space="preserve"> </w:t>
      </w:r>
      <w:r>
        <w:rPr>
          <w:i/>
        </w:rPr>
        <w:t xml:space="preserve">if</w:t>
      </w:r>
      <w:r>
        <w:t xml:space="preserve"> </w:t>
      </w:r>
      <w:r>
        <w:t xml:space="preserve">integration execution is nominal (+4% organic post-acquisition).</w:t>
      </w:r>
    </w:p>
    <w:p>
      <w:pPr>
        <w:pStyle w:val="BodyText"/>
      </w:pPr>
      <w:r>
        <w:rPr>
          <w:b/>
        </w:rPr>
        <w:t xml:space="preserve">Management’s Track Record on M&amp;A Integration:</w:t>
      </w:r>
      <w:r>
        <w:t xml:space="preserve"> </w:t>
      </w:r>
      <w:r>
        <w:t xml:space="preserve">1.</w:t>
      </w:r>
      <w:r>
        <w:t xml:space="preserve"> </w:t>
      </w:r>
      <w:r>
        <w:rPr>
          <w:b/>
        </w:rPr>
        <w:t xml:space="preserve">Strengths:</w:t>
      </w:r>
      <w:r>
        <w:t xml:space="preserve"> </w:t>
      </w:r>
      <w:r>
        <w:t xml:space="preserve">- Consistent EBITDA margin maintenance post-acquisition (42.5% Application Software; 54.1% Network Software).</w:t>
      </w:r>
      <w:r>
        <w:t xml:space="preserve"> </w:t>
      </w:r>
      <w:r>
        <w:t xml:space="preserve">- RPO/backlog growth (+9.5%/+10.3%) suggests deal pipelines are robust and customer attrition is minimal.</w:t>
      </w:r>
      <w:r>
        <w:t xml:space="preserve"> </w:t>
      </w:r>
      <w:r>
        <w:t xml:space="preserve">- CentralReach</w:t>
      </w:r>
      <w:r>
        <w:t xml:space="preserve"> </w:t>
      </w:r>
      <w:r>
        <w:t xml:space="preserve">“</w:t>
      </w:r>
      <w:r>
        <w:t xml:space="preserve">ahead of deal model</w:t>
      </w:r>
      <w:r>
        <w:t xml:space="preserve">”</w:t>
      </w:r>
      <w:r>
        <w:t xml:space="preserve"> </w:t>
      </w:r>
      <w:r>
        <w:t xml:space="preserve">commentary signals execution capability [Q4 2025 call].</w:t>
      </w:r>
    </w:p>
    <w:p>
      <w:pPr>
        <w:numPr>
          <w:ilvl w:val="0"/>
          <w:numId w:val="1004"/>
        </w:numPr>
        <w:pStyle w:val="Compact"/>
      </w:pPr>
      <w:r>
        <w:rPr>
          <w:b/>
        </w:rPr>
        <w:t xml:space="preserve">Risk Flags:</w:t>
      </w:r>
    </w:p>
    <w:p>
      <w:pPr>
        <w:numPr>
          <w:ilvl w:val="1"/>
          <w:numId w:val="1005"/>
        </w:numPr>
        <w:pStyle w:val="Compact"/>
      </w:pPr>
      <w:r>
        <w:rPr>
          <w:b/>
        </w:rPr>
        <w:t xml:space="preserve">Procare implementation delays:</w:t>
      </w:r>
      <w:r>
        <w:t xml:space="preserve"> </w:t>
      </w:r>
      <w:r>
        <w:t xml:space="preserve">Management characterizes as</w:t>
      </w:r>
      <w:r>
        <w:t xml:space="preserve"> </w:t>
      </w:r>
      <w:r>
        <w:t xml:space="preserve">“</w:t>
      </w:r>
      <w:r>
        <w:t xml:space="preserve">fixable,</w:t>
      </w:r>
      <w:r>
        <w:t xml:space="preserve">”</w:t>
      </w:r>
      <w:r>
        <w:t xml:space="preserve"> </w:t>
      </w:r>
      <w:r>
        <w:t xml:space="preserve">but indicates integration complexity (cloud migration, customer base expansion). No write-downs or integration charges mentioned yet [Q4 2025 call].</w:t>
      </w:r>
    </w:p>
    <w:p>
      <w:pPr>
        <w:numPr>
          <w:ilvl w:val="1"/>
          <w:numId w:val="1005"/>
        </w:numPr>
        <w:pStyle w:val="Compact"/>
      </w:pPr>
      <w:r>
        <w:rPr>
          <w:b/>
        </w:rPr>
        <w:t xml:space="preserve">Deltek GovCon uncertainty:</w:t>
      </w:r>
      <w:r>
        <w:t xml:space="preserve"> </w:t>
      </w:r>
      <w:r>
        <w:t xml:space="preserve">Excluded from FY2026 guidance, suggesting near-term cloud migration headwinds [Q4 2025 call].</w:t>
      </w:r>
    </w:p>
    <w:p>
      <w:pPr>
        <w:numPr>
          <w:ilvl w:val="1"/>
          <w:numId w:val="1005"/>
        </w:numPr>
        <w:pStyle w:val="Compact"/>
      </w:pPr>
      <w:r>
        <w:rPr>
          <w:b/>
        </w:rPr>
        <w:t xml:space="preserve">3-Year Cumulative SBC Inflation:</w:t>
      </w:r>
      <w:r>
        <w:t xml:space="preserve"> </w:t>
      </w:r>
      <w:r>
        <w:t xml:space="preserve">From $118.5M (FY2022) to $166.3M (FY2025), a +40% run rate, outpacing revenue growth (+47%), suggesting equity dilution from deal retention / integration incentives.</w:t>
      </w:r>
    </w:p>
    <w:p>
      <w:r>
        <w:pict>
          <v:rect style="width:0;height:1.5pt" o:hralign="center" o:hrstd="t" o:hr="t"/>
        </w:pict>
      </w:r>
    </w:p>
    <w:p>
      <w:pPr>
        <w:pStyle w:val="Heading4"/>
      </w:pPr>
      <w:bookmarkStart w:id="57" w:name="Xa3d1e0fe0e5a5ddd241beef91975242b95baa7e"/>
      <w:r>
        <w:rPr>
          <w:b/>
        </w:rPr>
        <w:t xml:space="preserve">Return on Invested Capital (ROIC) Estimation</w:t>
      </w:r>
      <w:bookmarkEnd w:id="57"/>
    </w:p>
    <w:p>
      <w:pPr>
        <w:pStyle w:val="FirstParagraph"/>
      </w:pPr>
      <w:r>
        <w:t xml:space="preserve">Using simplified perpetuity assumptions:</w:t>
      </w:r>
    </w:p>
    <w:p>
      <w:pPr>
        <w:pStyle w:val="BodyText"/>
      </w:pPr>
      <m:oMathPara>
        <m:oMathParaPr>
          <m:jc m:val="center"/>
        </m:oMathParaPr>
        <m:oMath>
          <m:r>
            <m:rPr>
              <m:nor/>
              <m:sty m:val="p"/>
            </m:rPr>
            <m:t>Invested Capital (FY2025)</m:t>
          </m:r>
          <m:r>
            <m:t>=</m:t>
          </m:r>
          <m:r>
            <m:rPr>
              <m:nor/>
              <m:sty m:val="p"/>
            </m:rPr>
            <m:t>Total Assets</m:t>
          </m:r>
          <m:r>
            <m:t>−</m:t>
          </m:r>
          <m:r>
            <m:rPr>
              <m:nor/>
              <m:sty m:val="p"/>
            </m:rPr>
            <m:t>Current Liabilities (non-debt)</m:t>
          </m:r>
          <m:r>
            <m:t>=</m:t>
          </m:r>
          <m:r>
            <m:t>$</m:t>
          </m:r>
          <m:r>
            <m:t>34</m:t>
          </m:r>
          <m:r>
            <m:t>,</m:t>
          </m:r>
          <m:r>
            <m:t>577</m:t>
          </m:r>
          <m:r>
            <m:t>M</m:t>
          </m:r>
          <m:r>
            <m:t>−</m:t>
          </m:r>
          <m:r>
            <m:t>(</m:t>
          </m:r>
          <m:r>
            <m:t>$</m:t>
          </m:r>
          <m:r>
            <m:t>1</m:t>
          </m:r>
          <m:r>
            <m:t>,</m:t>
          </m:r>
          <m:r>
            <m:t>928</m:t>
          </m:r>
          <m:r>
            <m:t>M</m:t>
          </m:r>
          <m:r>
            <m:t>−</m:t>
          </m:r>
          <m:r>
            <m:t>$</m:t>
          </m:r>
          <m:r>
            <m:t>1</m:t>
          </m:r>
          <m:r>
            <m:t>,</m:t>
          </m:r>
          <m:r>
            <m:t>555</m:t>
          </m:r>
          <m:r>
            <m:t>M</m:t>
          </m:r>
          <m:r>
            <m:t>)</m:t>
          </m:r>
          <m:r>
            <m:t>=</m:t>
          </m:r>
          <m:r>
            <m:t>$</m:t>
          </m:r>
          <m:r>
            <m:t>34</m:t>
          </m:r>
          <m:r>
            <m:t>,</m:t>
          </m:r>
          <m:r>
            <m:t>204</m:t>
          </m:r>
          <m:r>
            <m:t>M</m:t>
          </m:r>
        </m:oMath>
      </m:oMathPara>
    </w:p>
    <w:p>
      <w:pPr>
        <w:pStyle w:val="FirstParagraph"/>
      </w:pPr>
      <w:r>
        <w:rPr>
          <w:b/>
        </w:rPr>
        <w:t xml:space="preserve">Adjusted NOPAT (after-tax operating profit, ex-SBC and amortization):</w:t>
      </w:r>
    </w:p>
    <w:p>
      <w:pPr>
        <w:pStyle w:val="BodyText"/>
      </w:pPr>
      <m:oMathPara>
        <m:oMathParaPr>
          <m:jc m:val="center"/>
        </m:oMathParaPr>
        <m:oMath>
          <m:r>
            <m:rPr>
              <m:nor/>
              <m:sty m:val="p"/>
            </m:rPr>
            <m:t>Operating Income (GAAP)</m:t>
          </m:r>
          <m:r>
            <m:t>=</m:t>
          </m:r>
          <m:r>
            <m:t>$</m:t>
          </m:r>
          <m:r>
            <m:t>2</m:t>
          </m:r>
          <m:r>
            <m:t>,</m:t>
          </m:r>
          <m:r>
            <m:t>235.4</m:t>
          </m:r>
          <m:r>
            <m:t>M</m:t>
          </m:r>
        </m:oMath>
      </m:oMathPara>
    </w:p>
    <w:p>
      <w:pPr>
        <w:pStyle w:val="FirstParagraph"/>
      </w:pPr>
      <m:oMathPara>
        <m:oMathParaPr>
          <m:jc m:val="center"/>
        </m:oMathParaPr>
        <m:oMath>
          <m:r>
            <m:rPr>
              <m:nor/>
              <m:sty m:val="p"/>
            </m:rPr>
            <m:t>Add: Amortization of Intangibles</m:t>
          </m:r>
          <m:r>
            <m:t>=</m:t>
          </m:r>
          <m:r>
            <m:t>$</m:t>
          </m:r>
          <m:r>
            <m:t>858.4</m:t>
          </m:r>
          <m:r>
            <m:t>M</m:t>
          </m:r>
        </m:oMath>
      </m:oMathPara>
    </w:p>
    <w:p>
      <w:pPr>
        <w:pStyle w:val="FirstParagraph"/>
      </w:pPr>
      <m:oMathPara>
        <m:oMathParaPr>
          <m:jc m:val="center"/>
        </m:oMathParaPr>
        <m:oMath>
          <m:r>
            <m:rPr>
              <m:nor/>
              <m:sty m:val="p"/>
            </m:rPr>
            <m:t>Less: SBC (after-tax)</m:t>
          </m:r>
          <m:r>
            <m:t>=</m:t>
          </m:r>
          <m:r>
            <m:t>$</m:t>
          </m:r>
          <m:r>
            <m:t>166.3</m:t>
          </m:r>
          <m:r>
            <m:t>M</m:t>
          </m:r>
          <m:r>
            <m:t>×</m:t>
          </m:r>
          <m:r>
            <m:t>0.79</m:t>
          </m:r>
          <m:r>
            <m:t>=</m:t>
          </m:r>
          <m:r>
            <m:t>$</m:t>
          </m:r>
          <m:r>
            <m:t>131.4</m:t>
          </m:r>
          <m:r>
            <m:t>M</m:t>
          </m:r>
        </m:oMath>
      </m:oMathPara>
    </w:p>
    <w:p>
      <w:pPr>
        <w:pStyle w:val="FirstParagraph"/>
      </w:pPr>
      <m:oMathPara>
        <m:oMathParaPr>
          <m:jc m:val="center"/>
        </m:oMathParaPr>
        <m:oMath>
          <m:r>
            <m:rPr>
              <m:nor/>
              <m:sty m:val="p"/>
            </m:rPr>
            <m:t>Adjusted Operating Income</m:t>
          </m:r>
          <m:r>
            <m:t>=</m:t>
          </m:r>
          <m:r>
            <m:t>$</m:t>
          </m:r>
          <m:r>
            <m:t>2</m:t>
          </m:r>
          <m:r>
            <m:t>,</m:t>
          </m:r>
          <m:r>
            <m:t>962.0</m:t>
          </m:r>
          <m:r>
            <m:t>M</m:t>
          </m:r>
        </m:oMath>
      </m:oMathPara>
    </w:p>
    <w:p>
      <w:pPr>
        <w:pStyle w:val="FirstParagraph"/>
      </w:pPr>
      <m:oMathPara>
        <m:oMathParaPr>
          <m:jc m:val="center"/>
        </m:oMathParaPr>
        <m:oMath>
          <m:r>
            <m:rPr>
              <m:nor/>
              <m:sty m:val="p"/>
            </m:rPr>
            <m:t>Tax-adjusted NOPAT (@ 20.6%)</m:t>
          </m:r>
          <m:r>
            <m:t>=</m:t>
          </m:r>
          <m:r>
            <m:t>$</m:t>
          </m:r>
          <m:r>
            <m:t>2</m:t>
          </m:r>
          <m:r>
            <m:t>,</m:t>
          </m:r>
          <m:r>
            <m:t>962.0</m:t>
          </m:r>
          <m:r>
            <m:t>M</m:t>
          </m:r>
          <m:r>
            <m:t>×</m:t>
          </m:r>
          <m:r>
            <m:t>0.794</m:t>
          </m:r>
          <m:r>
            <m:t>=</m:t>
          </m:r>
          <m:r>
            <m:t>$</m:t>
          </m:r>
          <m:r>
            <m:t>2</m:t>
          </m:r>
          <m:r>
            <m:t>,</m:t>
          </m:r>
          <m:r>
            <m:t>350</m:t>
          </m:r>
          <m:r>
            <m:t>M</m:t>
          </m:r>
        </m:oMath>
      </m:oMathPara>
    </w:p>
    <w:p>
      <w:pPr>
        <w:pStyle w:val="FirstParagraph"/>
      </w:pPr>
      <m:oMathPara>
        <m:oMathParaPr>
          <m:jc m:val="center"/>
        </m:oMathParaPr>
        <m:oMath>
          <m:r>
            <m:rPr>
              <m:nor/>
              <m:sty m:val="p"/>
            </m:rPr>
            <m:t>ROIC</m:t>
          </m:r>
          <m:r>
            <m:t>=</m:t>
          </m:r>
          <m:f>
            <m:fPr>
              <m:type m:val="bar"/>
            </m:fPr>
            <m:num>
              <m:r>
                <m:t>$</m:t>
              </m:r>
              <m:r>
                <m:t>2</m:t>
              </m:r>
              <m:r>
                <m:t>,</m:t>
              </m:r>
              <m:r>
                <m:t>350</m:t>
              </m:r>
              <m:r>
                <m:t>M</m:t>
              </m:r>
            </m:num>
            <m:den>
              <m:r>
                <m:t>$</m:t>
              </m:r>
              <m:r>
                <m:t>34</m:t>
              </m:r>
              <m:r>
                <m:t>,</m:t>
              </m:r>
              <m:r>
                <m:t>204</m:t>
              </m:r>
              <m:r>
                <m:t>M</m:t>
              </m:r>
            </m:den>
          </m:f>
          <m:r>
            <m:t>=</m:t>
          </m:r>
          <m:borderBox>
            <m:e>
              <m:r>
                <m:t>6.9</m:t>
              </m:r>
              <m:r>
                <m:t>%</m:t>
              </m:r>
            </m:e>
          </m:borderBox>
        </m:oMath>
      </m:oMathPara>
    </w:p>
    <w:p>
      <w:pPr>
        <w:pStyle w:val="FirstParagraph"/>
      </w:pPr>
      <w:r>
        <w:rPr>
          <w:b/>
        </w:rPr>
        <w:t xml:space="preserve">Interpretation:</w:t>
      </w:r>
      <w:r>
        <w:t xml:space="preserve"> </w:t>
      </w:r>
      <w:r>
        <w:t xml:space="preserve">- ROIC of 6.9% is</w:t>
      </w:r>
      <w:r>
        <w:t xml:space="preserve"> </w:t>
      </w:r>
      <w:r>
        <w:rPr>
          <w:b/>
        </w:rPr>
        <w:t xml:space="preserve">below</w:t>
      </w:r>
      <w:r>
        <w:t xml:space="preserve"> </w:t>
      </w:r>
      <w:r>
        <w:t xml:space="preserve">standalone WACC estimate of 6.5% on a blended basis, but this reflects:</w:t>
      </w:r>
      <w:r>
        <w:t xml:space="preserve"> </w:t>
      </w:r>
      <w:r>
        <w:t xml:space="preserve">1. Goodwill and intangible asset base ($31.1B, 90% of equity value) — accounting artifacts of M&amp;A strategy.</w:t>
      </w:r>
      <w:r>
        <w:t xml:space="preserve"> </w:t>
      </w:r>
      <w:r>
        <w:t xml:space="preserve">2. Fully-loaded capex absent (ROP’s capex is minimal at $47.4M, or 0.6% of revenue, typical for SaaS).</w:t>
      </w:r>
      <w:r>
        <w:t xml:space="preserve"> </w:t>
      </w:r>
      <w:r>
        <w:t xml:space="preserve">3. Operating leverage at segment level (EBITDA margins 42–54%) exceeds consolidated blended return, suggesting opportunity for cost-base consolidation.</w:t>
      </w:r>
    </w:p>
    <w:p>
      <w:pPr>
        <w:pStyle w:val="BodyText"/>
      </w:pPr>
      <w:r>
        <w:rPr>
          <w:b/>
        </w:rPr>
        <w:t xml:space="preserve">Adjusted ROIC (Tangible Capital):</w:t>
      </w:r>
    </w:p>
    <w:p>
      <w:pPr>
        <w:pStyle w:val="BodyText"/>
      </w:pPr>
      <m:oMathPara>
        <m:oMathParaPr>
          <m:jc m:val="center"/>
        </m:oMathParaPr>
        <m:oMath>
          <m:r>
            <m:rPr>
              <m:nor/>
              <m:sty m:val="p"/>
            </m:rPr>
            <m:t>Tangible Invested Capital</m:t>
          </m:r>
          <m:r>
            <m:t>=</m:t>
          </m:r>
          <m:r>
            <m:t>$</m:t>
          </m:r>
          <m:r>
            <m:t>34</m:t>
          </m:r>
          <m:r>
            <m:t>,</m:t>
          </m:r>
          <m:r>
            <m:t>204</m:t>
          </m:r>
          <m:r>
            <m:t>M</m:t>
          </m:r>
          <m:r>
            <m:t>−</m:t>
          </m:r>
          <m:r>
            <m:t>$</m:t>
          </m:r>
          <m:r>
            <m:t>31</m:t>
          </m:r>
          <m:r>
            <m:t>,</m:t>
          </m:r>
          <m:r>
            <m:t>105</m:t>
          </m:r>
          <m:r>
            <m:t>M</m:t>
          </m:r>
          <m:r>
            <m:rPr>
              <m:nor/>
              <m:sty m:val="p"/>
            </m:rPr>
            <m:t> (goodwill + intangibles)</m:t>
          </m:r>
          <m:r>
            <m:t>=</m:t>
          </m:r>
          <m:r>
            <m:t>$</m:t>
          </m:r>
          <m:r>
            <m:t>3</m:t>
          </m:r>
          <m:r>
            <m:t>,</m:t>
          </m:r>
          <m:r>
            <m:t>099</m:t>
          </m:r>
          <m:r>
            <m:t>M</m:t>
          </m:r>
        </m:oMath>
      </m:oMathPara>
    </w:p>
    <w:p>
      <w:pPr>
        <w:pStyle w:val="FirstParagraph"/>
      </w:pPr>
      <m:oMathPara>
        <m:oMathParaPr>
          <m:jc m:val="center"/>
        </m:oMathParaPr>
        <m:oMath>
          <m:r>
            <m:rPr>
              <m:nor/>
              <m:sty m:val="p"/>
            </m:rPr>
            <m:t>Adjusted ROIC (Tangible)</m:t>
          </m:r>
          <m:r>
            <m:t>=</m:t>
          </m:r>
          <m:f>
            <m:fPr>
              <m:type m:val="bar"/>
            </m:fPr>
            <m:num>
              <m:r>
                <m:t>$</m:t>
              </m:r>
              <m:r>
                <m:t>2</m:t>
              </m:r>
              <m:r>
                <m:t>,</m:t>
              </m:r>
              <m:r>
                <m:t>350</m:t>
              </m:r>
              <m:r>
                <m:t>M</m:t>
              </m:r>
            </m:num>
            <m:den>
              <m:r>
                <m:t>$</m:t>
              </m:r>
              <m:r>
                <m:t>3</m:t>
              </m:r>
              <m:r>
                <m:t>,</m:t>
              </m:r>
              <m:r>
                <m:t>099</m:t>
              </m:r>
              <m:r>
                <m:t>M</m:t>
              </m:r>
            </m:den>
          </m:f>
          <m:r>
            <m:t>=</m:t>
          </m:r>
          <m:borderBox>
            <m:e>
              <m:r>
                <m:t>75.9</m:t>
              </m:r>
              <m:r>
                <m:t>%</m:t>
              </m:r>
            </m:e>
          </m:borderBox>
        </m:oMath>
      </m:oMathPara>
    </w:p>
    <w:p>
      <w:pPr>
        <w:pStyle w:val="FirstParagraph"/>
      </w:pPr>
      <w:r>
        <w:rPr>
          <w:b/>
        </w:rPr>
        <w:t xml:space="preserve">This figure is exceptional and unsustainable on a forward basis</w:t>
      </w:r>
      <w:r>
        <w:t xml:space="preserve"> </w:t>
      </w:r>
      <w:r>
        <w:t xml:space="preserve">(reflects high-margin SaaS base + minimal incremental capex required); however, it signals that ROP’s core operating model is highly capital-efficient.</w:t>
      </w:r>
    </w:p>
    <w:p>
      <w:r>
        <w:pict>
          <v:rect style="width:0;height:1.5pt" o:hralign="center" o:hrstd="t" o:hr="t"/>
        </w:pict>
      </w:r>
    </w:p>
    <w:p>
      <w:pPr>
        <w:pStyle w:val="Heading3"/>
      </w:pPr>
      <w:bookmarkStart w:id="58" w:name="X0abffbf46eca58a18e5c70e5dbf56cef9721881"/>
      <w:r>
        <w:t xml:space="preserve">2C. Dividend and Shareholder Return Policy</w:t>
      </w:r>
      <w:bookmarkEnd w:id="58"/>
    </w:p>
    <w:p>
      <w:pPr>
        <w:pStyle w:val="FirstParagraph"/>
      </w:pPr>
      <w:r>
        <w:rPr>
          <w:b/>
        </w:rPr>
        <w:t xml:space="preserve">Dividend History:</w:t>
      </w:r>
      <w:r>
        <w:t xml:space="preserve"> </w:t>
      </w:r>
      <w:r>
        <w:t xml:space="preserve">-</w:t>
      </w:r>
      <w:r>
        <w:t xml:space="preserve"> </w:t>
      </w:r>
      <w:r>
        <w:rPr>
          <w:b/>
        </w:rPr>
        <w:t xml:space="preserve">Quarterly Dividend (Nov 2025):</w:t>
      </w:r>
      <w:r>
        <w:t xml:space="preserve"> </w:t>
      </w:r>
      <w:r>
        <w:t xml:space="preserve">$0.91/share</w:t>
      </w:r>
      <w:r>
        <w:t xml:space="preserve"> </w:t>
      </w:r>
      <w:r>
        <w:t xml:space="preserve">-</w:t>
      </w:r>
      <w:r>
        <w:t xml:space="preserve"> </w:t>
      </w:r>
      <w:r>
        <w:rPr>
          <w:b/>
        </w:rPr>
        <w:t xml:space="preserve">Consecutive Annual Increases:</w:t>
      </w:r>
      <w:r>
        <w:t xml:space="preserve"> </w:t>
      </w:r>
      <w:r>
        <w:t xml:space="preserve">33 years (Dividend Aristocrat status per S&amp;P)</w:t>
      </w:r>
      <w:r>
        <w:t xml:space="preserve"> </w:t>
      </w:r>
      <w:r>
        <w:t xml:space="preserve">-</w:t>
      </w:r>
      <w:r>
        <w:t xml:space="preserve"> </w:t>
      </w:r>
      <w:r>
        <w:rPr>
          <w:b/>
        </w:rPr>
        <w:t xml:space="preserve">Prior Quarterly Rates:</w:t>
      </w:r>
      <w:r>
        <w:t xml:space="preserve"> </w:t>
      </w:r>
      <w:r>
        <w:t xml:space="preserve">~$0.82–0.83/share in FY2024 (implied +10% increase in Nov 2025)</w:t>
      </w:r>
      <w:r>
        <w:t xml:space="preserve"> </w:t>
      </w:r>
      <w:r>
        <w:t xml:space="preserve">-</w:t>
      </w:r>
      <w:r>
        <w:t xml:space="preserve"> </w:t>
      </w:r>
      <w:r>
        <w:rPr>
          <w:b/>
        </w:rPr>
        <w:t xml:space="preserve">Annual Dividend Yield (at $450 stock price):</w:t>
      </w:r>
      <w:r>
        <w:t xml:space="preserve"> </w:t>
      </w:r>
      <w:r>
        <w:t xml:space="preserve">~0.81% (modest; suggests shareholders expect capital appreciation, not yield)</w:t>
      </w:r>
    </w:p>
    <w:p>
      <w:pPr>
        <w:pStyle w:val="BodyText"/>
      </w:pPr>
      <w:r>
        <w:rPr>
          <w:b/>
        </w:rPr>
        <w:t xml:space="preserve">Share Repurchase Program:</w:t>
      </w:r>
      <w:r>
        <w:t xml:space="preserve"> </w:t>
      </w:r>
      <w:r>
        <w:t xml:space="preserve">-</w:t>
      </w:r>
      <w:r>
        <w:t xml:space="preserve"> </w:t>
      </w:r>
      <w:r>
        <w:rPr>
          <w:b/>
        </w:rPr>
        <w:t xml:space="preserve">Authorization (Oct 2025):</w:t>
      </w:r>
      <w:r>
        <w:t xml:space="preserve"> </w:t>
      </w:r>
      <w:r>
        <w:t xml:space="preserve">$3.0B</w:t>
      </w:r>
      <w:r>
        <w:t xml:space="preserve"> </w:t>
      </w:r>
      <w:r>
        <w:t xml:space="preserve">-</w:t>
      </w:r>
      <w:r>
        <w:t xml:space="preserve"> </w:t>
      </w:r>
      <w:r>
        <w:rPr>
          <w:b/>
        </w:rPr>
        <w:t xml:space="preserve">FY2025 Repurchases:</w:t>
      </w:r>
      <w:r>
        <w:t xml:space="preserve"> </w:t>
      </w:r>
      <w:r>
        <w:t xml:space="preserve">$500M; 1.12M shares at avg. $445.90 [Earnings slides]</w:t>
      </w:r>
      <w:r>
        <w:t xml:space="preserve"> </w:t>
      </w:r>
      <w:r>
        <w:t xml:space="preserve">-</w:t>
      </w:r>
      <w:r>
        <w:t xml:space="preserve"> </w:t>
      </w:r>
      <w:r>
        <w:rPr>
          <w:b/>
        </w:rPr>
        <w:t xml:space="preserve">Remaining Authorization:</w:t>
      </w:r>
      <w:r>
        <w:t xml:space="preserve"> </w:t>
      </w:r>
      <w:r>
        <w:t xml:space="preserve">~$2.5B</w:t>
      </w:r>
      <w:r>
        <w:t xml:space="preserve"> </w:t>
      </w:r>
      <w:r>
        <w:t xml:space="preserve">-</w:t>
      </w:r>
      <w:r>
        <w:t xml:space="preserve"> </w:t>
      </w:r>
      <w:r>
        <w:rPr>
          <w:b/>
        </w:rPr>
        <w:t xml:space="preserve">Forward Plan:</w:t>
      </w:r>
      <w:r>
        <w:t xml:space="preserve"> </w:t>
      </w:r>
      <w:r>
        <w:t xml:space="preserve">Management commentary suggests $3–4B/year M&amp;A deployment + $500M–1B/year share repurchases, within 2.9x net debt/EBITDA guardrail [Q4 2025 call].</w:t>
      </w:r>
    </w:p>
    <w:p>
      <w:pPr>
        <w:pStyle w:val="BodyText"/>
      </w:pPr>
      <w:r>
        <w:rPr>
          <w:b/>
        </w:rPr>
        <w:t xml:space="preserve">Capital Allocation Philosophy (per management):</w:t>
      </w:r>
      <w:r>
        <w:t xml:space="preserve"> </w:t>
      </w:r>
      <w:r>
        <w:t xml:space="preserve">1. Fund organic growth (capex minimal; R&amp;D embedded in SG&amp;A).</w:t>
      </w:r>
      <w:r>
        <w:t xml:space="preserve"> </w:t>
      </w:r>
      <w:r>
        <w:t xml:space="preserve">2. Deploy 60–70% of FCF toward M&amp;A (bolt-ons and tuck-ins in verticals).</w:t>
      </w:r>
      <w:r>
        <w:t xml:space="preserve"> </w:t>
      </w:r>
      <w:r>
        <w:t xml:space="preserve">3. Allocate 10–20% of FCF to share repurchases (new policy as of Oct 2025).</w:t>
      </w:r>
      <w:r>
        <w:t xml:space="preserve"> </w:t>
      </w:r>
      <w:r>
        <w:t xml:space="preserve">4. Maintain dividend as floor for shareholder returns + incremental buybacks.</w:t>
      </w:r>
      <w:r>
        <w:t xml:space="preserve"> </w:t>
      </w:r>
      <w:r>
        <w:t xml:space="preserve">5. Target net debt/EBITDA range: 2.5x–3.0x.</w:t>
      </w:r>
    </w:p>
    <w:p>
      <w:pPr>
        <w:pStyle w:val="BodyText"/>
      </w:pPr>
      <w:r>
        <w:rPr>
          <w:b/>
        </w:rPr>
        <w:t xml:space="preserve">Credibility Assessment:</w:t>
      </w:r>
      <w:r>
        <w:t xml:space="preserve"> </w:t>
      </w:r>
      <w:r>
        <w:t xml:space="preserve">- ✓</w:t>
      </w:r>
      <w:r>
        <w:t xml:space="preserve"> </w:t>
      </w:r>
      <w:r>
        <w:rPr>
          <w:b/>
        </w:rPr>
        <w:t xml:space="preserve">Dividend Consistency:</w:t>
      </w:r>
      <w:r>
        <w:t xml:space="preserve"> </w:t>
      </w:r>
      <w:r>
        <w:t xml:space="preserve">33 consecutive annual increases; board just raised it 10%; signals confidence in sustainable FCF.</w:t>
      </w:r>
      <w:r>
        <w:t xml:space="preserve"> </w:t>
      </w:r>
      <w:r>
        <w:t xml:space="preserve">- ✓</w:t>
      </w:r>
      <w:r>
        <w:t xml:space="preserve"> </w:t>
      </w:r>
      <w:r>
        <w:rPr>
          <w:b/>
        </w:rPr>
        <w:t xml:space="preserve">Balanced M&amp;A Approach:</w:t>
      </w:r>
      <w:r>
        <w:t xml:space="preserve"> </w:t>
      </w:r>
      <w:r>
        <w:t xml:space="preserve">$8.96B deployment over 3 years is aggressive but disciplined (6.9x blended EV/EBITDA is reasonable for 4–6% organic growers in software).</w:t>
      </w:r>
      <w:r>
        <w:t xml:space="preserve"> </w:t>
      </w:r>
      <w:r>
        <w:t xml:space="preserve">- ✓</w:t>
      </w:r>
      <w:r>
        <w:t xml:space="preserve"> </w:t>
      </w:r>
      <w:r>
        <w:rPr>
          <w:b/>
        </w:rPr>
        <w:t xml:space="preserve">Leverage Management:</w:t>
      </w:r>
      <w:r>
        <w:t xml:space="preserve"> </w:t>
      </w:r>
      <w:r>
        <w:t xml:space="preserve">Net debt/EBITDA 2.9x is mid-range for ROP’s history; room for upside if operating leverage accelerates.</w:t>
      </w:r>
      <w:r>
        <w:t xml:space="preserve"> </w:t>
      </w:r>
      <w:r>
        <w:t xml:space="preserve">- ⚠️</w:t>
      </w:r>
      <w:r>
        <w:t xml:space="preserve"> </w:t>
      </w:r>
      <w:r>
        <w:rPr>
          <w:b/>
        </w:rPr>
        <w:t xml:space="preserve">SBC Creep:</w:t>
      </w:r>
      <w:r>
        <w:t xml:space="preserve"> </w:t>
      </w:r>
      <w:r>
        <w:t xml:space="preserve">Rising SBC ($166.3M in FY2025) without corresponding revenue growth acceleration suggests potential dilution concern.</w:t>
      </w:r>
    </w:p>
    <w:p>
      <w:r>
        <w:pict>
          <v:rect style="width:0;height:1.5pt" o:hralign="center" o:hrstd="t" o:hr="t"/>
        </w:pict>
      </w:r>
    </w:p>
    <w:p>
      <w:pPr>
        <w:pStyle w:val="Heading3"/>
      </w:pPr>
      <w:bookmarkStart w:id="59" w:name="Xae6a980f0d53cf582b78bd1f888710d4380b6e2"/>
      <w:r>
        <w:t xml:space="preserve">2D. Compensation Alignment (Proxy Statement Data)</w:t>
      </w:r>
      <w:bookmarkEnd w:id="59"/>
    </w:p>
    <w:p>
      <w:pPr>
        <w:pStyle w:val="FirstParagraph"/>
      </w:pPr>
      <w:r>
        <w:t xml:space="preserve">⚠️ [USER INPUT REQUIRED — Specific executive compensation (salary, bonus, equity grants, clawback provisions, and performance metrics) not provided in supplied data. Recommend sourcing from DEF 14A (Proxy Statement) filed with SEC in advance of annual meeting.]</w:t>
      </w:r>
    </w:p>
    <w:p>
      <w:pPr>
        <w:pStyle w:val="BodyText"/>
      </w:pPr>
      <w:r>
        <w:rPr>
          <w:b/>
        </w:rPr>
        <w:t xml:space="preserve">Inferred Framework (based on industry norms):</w:t>
      </w:r>
      <w:r>
        <w:t xml:space="preserve"> </w:t>
      </w:r>
      <w:r>
        <w:t xml:space="preserve">- CEO compensation likely structured as: 40–50% salary, 25–35% annual bonus (tied to revenue growth + EBITDA margin), 20–30% equity (RSUs vesting over 4 years, performance-based).</w:t>
      </w:r>
      <w:r>
        <w:t xml:space="preserve"> </w:t>
      </w:r>
      <w:r>
        <w:t xml:space="preserve">- CFO compensation likely similar ratio, with slightly lower quantum.</w:t>
      </w:r>
      <w:r>
        <w:t xml:space="preserve"> </w:t>
      </w:r>
      <w:r>
        <w:t xml:space="preserve">- Equity vesting likely tied to multi-year performance targets (e.g., CAGR, ROIC, FCF conversion).</w:t>
      </w:r>
    </w:p>
    <w:p>
      <w:r>
        <w:pict>
          <v:rect style="width:0;height:1.5pt" o:hralign="center" o:hrstd="t" o:hr="t"/>
        </w:pict>
      </w:r>
    </w:p>
    <w:p>
      <w:pPr>
        <w:pStyle w:val="Heading3"/>
      </w:pPr>
      <w:bookmarkStart w:id="60" w:name="X3f115ea2741c5504b567cd2048bfbd80ceeb98b"/>
      <w:r>
        <w:t xml:space="preserve">2E. Management Quality Score and Credibility Assessment</w:t>
      </w:r>
      <w:bookmarkEnd w:id="60"/>
    </w:p>
    <w:tbl>
      <w:tblPr>
        <w:tblStyle w:val="Table"/>
        <w:tblW w:type="pct" w:w="5000.0"/>
        <w:tblLook w:firstRow="1"/>
      </w:tblPr>
      <w:tblGrid>
        <w:gridCol w:w="2722"/>
        <w:gridCol w:w="2722"/>
        <w:gridCol w:w="2475"/>
      </w:tblGrid>
      <w:tr>
        <w:trPr>
          <w:cnfStyle w:firstRow="1"/>
        </w:trPr>
        <w:tc>
          <w:tcPr>
            <w:tcBorders>
              <w:bottom w:val="single"/>
            </w:tcBorders>
            <w:vAlign w:val="bottom"/>
          </w:tcPr>
          <w:p>
            <w:pPr>
              <w:pStyle w:val="Compact"/>
              <w:jc w:val="left"/>
            </w:pPr>
            <w:r>
              <w:t xml:space="preserve">Dimension</w:t>
            </w:r>
          </w:p>
        </w:tc>
        <w:tc>
          <w:tcPr>
            <w:tcBorders>
              <w:bottom w:val="single"/>
            </w:tcBorders>
            <w:vAlign w:val="bottom"/>
          </w:tcPr>
          <w:p>
            <w:pPr>
              <w:pStyle w:val="Compact"/>
              <w:jc w:val="left"/>
            </w:pPr>
            <w:r>
              <w:t xml:space="preserve">Assessment</w:t>
            </w:r>
          </w:p>
        </w:tc>
        <w:tc>
          <w:tcPr>
            <w:tcBorders>
              <w:bottom w:val="single"/>
            </w:tcBorders>
            <w:vAlign w:val="bottom"/>
          </w:tcPr>
          <w:p>
            <w:pPr>
              <w:pStyle w:val="Compact"/>
              <w:jc w:val="left"/>
            </w:pPr>
            <w:r>
              <w:t xml:space="preserve">Evidence</w:t>
            </w:r>
          </w:p>
        </w:tc>
      </w:tr>
      <w:tr>
        <w:tc>
          <w:p>
            <w:pPr>
              <w:pStyle w:val="Compact"/>
              <w:jc w:val="left"/>
            </w:pPr>
            <w:r>
              <w:rPr>
                <w:b/>
              </w:rPr>
              <w:t xml:space="preserve">Capital Allocation</w:t>
            </w:r>
          </w:p>
        </w:tc>
        <w:tc>
          <w:p>
            <w:pPr>
              <w:pStyle w:val="Compact"/>
              <w:jc w:val="left"/>
            </w:pPr>
            <w:r>
              <w:t xml:space="preserve">Strong (8/10)</w:t>
            </w:r>
          </w:p>
        </w:tc>
        <w:tc>
          <w:p>
            <w:pPr>
              <w:pStyle w:val="Compact"/>
              <w:jc w:val="left"/>
            </w:pPr>
            <w:r>
              <w:t xml:space="preserve">3 consecutive years of $2.8–3.3B M&amp;A at 6.9x blended multiples; share buybacks initiated at reasonable valuation</w:t>
            </w:r>
          </w:p>
        </w:tc>
      </w:tr>
      <w:tr>
        <w:tc>
          <w:p>
            <w:pPr>
              <w:pStyle w:val="Compact"/>
              <w:jc w:val="left"/>
            </w:pPr>
            <w:r>
              <w:rPr>
                <w:b/>
              </w:rPr>
              <w:t xml:space="preserve">M&amp;A Integration</w:t>
            </w:r>
          </w:p>
        </w:tc>
        <w:tc>
          <w:p>
            <w:pPr>
              <w:pStyle w:val="Compact"/>
              <w:jc w:val="left"/>
            </w:pPr>
            <w:r>
              <w:t xml:space="preserve">Strong (7.5/10)</w:t>
            </w:r>
          </w:p>
        </w:tc>
        <w:tc>
          <w:p>
            <w:pPr>
              <w:pStyle w:val="Compact"/>
              <w:jc w:val="left"/>
            </w:pPr>
            <w:r>
              <w:t xml:space="preserve">Consistent EBITDA margins post-acquisition; CentralReach</w:t>
            </w:r>
            <w:r>
              <w:t xml:space="preserve"> </w:t>
            </w:r>
            <w:r>
              <w:t xml:space="preserve">“</w:t>
            </w:r>
            <w:r>
              <w:t xml:space="preserve">ahead of deal model</w:t>
            </w:r>
            <w:r>
              <w:t xml:space="preserve">”</w:t>
            </w:r>
            <w:r>
              <w:t xml:space="preserve">; Procare issues minor and fixable</w:t>
            </w:r>
          </w:p>
        </w:tc>
      </w:tr>
      <w:tr>
        <w:tc>
          <w:p>
            <w:pPr>
              <w:pStyle w:val="Compact"/>
              <w:jc w:val="left"/>
            </w:pPr>
            <w:r>
              <w:rPr>
                <w:b/>
              </w:rPr>
              <w:t xml:space="preserve">Operational Leverage</w:t>
            </w:r>
          </w:p>
        </w:tc>
        <w:tc>
          <w:p>
            <w:pPr>
              <w:pStyle w:val="Compact"/>
              <w:jc w:val="left"/>
            </w:pPr>
            <w:r>
              <w:t xml:space="preserve">Strong (8/10)</w:t>
            </w:r>
          </w:p>
        </w:tc>
        <w:tc>
          <w:p>
            <w:pPr>
              <w:pStyle w:val="Compact"/>
              <w:jc w:val="left"/>
            </w:pPr>
            <w:r>
              <w:t xml:space="preserve">+30 bps core EBITDA margin YoY despite M&amp;A mix shift; organic growth acceleration to 6%+</w:t>
            </w:r>
          </w:p>
        </w:tc>
      </w:tr>
      <w:tr>
        <w:tc>
          <w:p>
            <w:pPr>
              <w:pStyle w:val="Compact"/>
              <w:jc w:val="left"/>
            </w:pPr>
            <w:r>
              <w:rPr>
                <w:b/>
              </w:rPr>
              <w:t xml:space="preserve">Investor Communication</w:t>
            </w:r>
          </w:p>
        </w:tc>
        <w:tc>
          <w:p>
            <w:pPr>
              <w:pStyle w:val="Compact"/>
              <w:jc w:val="left"/>
            </w:pPr>
            <w:r>
              <w:t xml:space="preserve">Moderate (6.5/10)</w:t>
            </w:r>
          </w:p>
        </w:tc>
        <w:tc>
          <w:p>
            <w:pPr>
              <w:pStyle w:val="Compact"/>
              <w:jc w:val="left"/>
            </w:pPr>
            <w:r>
              <w:t xml:space="preserve">Clear segment reporting; transparent on headwinds (Deltek, DAT, Neptune); but no forward-looking guidance on AI monetization</w:t>
            </w:r>
          </w:p>
        </w:tc>
      </w:tr>
      <w:tr>
        <w:tc>
          <w:p>
            <w:pPr>
              <w:pStyle w:val="Compact"/>
              <w:jc w:val="left"/>
            </w:pPr>
            <w:r>
              <w:rPr>
                <w:b/>
              </w:rPr>
              <w:t xml:space="preserve">Execution Risk</w:t>
            </w:r>
          </w:p>
        </w:tc>
        <w:tc>
          <w:p>
            <w:pPr>
              <w:pStyle w:val="Compact"/>
              <w:jc w:val="left"/>
            </w:pPr>
            <w:r>
              <w:t xml:space="preserve">Moderate (6/10)</w:t>
            </w:r>
          </w:p>
        </w:tc>
        <w:tc>
          <w:p>
            <w:pPr>
              <w:pStyle w:val="Compact"/>
              <w:jc w:val="left"/>
            </w:pPr>
            <w:r>
              <w:t xml:space="preserve">Procare implementation delays, Deltek cloud migration uncertainty; mitigated by diversified platform portfolio</w:t>
            </w:r>
          </w:p>
        </w:tc>
      </w:tr>
    </w:tbl>
    <w:p>
      <w:pPr>
        <w:pStyle w:val="BodyText"/>
      </w:pPr>
      <w:r>
        <w:rPr>
          <w:b/>
        </w:rPr>
        <w:t xml:space="preserve">Investor Implication:</w:t>
      </w:r>
      <w:r>
        <w:t xml:space="preserve"> </w:t>
      </w:r>
      <w:r>
        <w:t xml:space="preserve">Management has demonstrated consistent capital discipline and operational execution across three transformational years; dividend policy and share buyback initiation reinforce credibility, though SBC inflation and deal integration challenges warrant monitoring.</w:t>
      </w:r>
    </w:p>
    <w:p>
      <w:r>
        <w:pict>
          <v:rect style="width:0;height:1.5pt" o:hralign="center" o:hrstd="t" o:hr="t"/>
        </w:pict>
      </w:r>
    </w:p>
    <w:p>
      <w:pPr>
        <w:pStyle w:val="Heading2"/>
      </w:pPr>
      <w:bookmarkStart w:id="61" w:name="X9f959048dab754509beb328acc86822747dbf62"/>
      <w:r>
        <w:t xml:space="preserve">SECTION 3: THE MOAT — INDEPENDENT VERIFICATION</w:t>
      </w:r>
      <w:bookmarkEnd w:id="61"/>
    </w:p>
    <w:p>
      <w:pPr>
        <w:pStyle w:val="Heading3"/>
      </w:pPr>
      <w:bookmarkStart w:id="62" w:name="a.-competitive-advantage-framework"/>
      <w:r>
        <w:t xml:space="preserve">3A. Competitive Advantage Framework</w:t>
      </w:r>
      <w:bookmarkEnd w:id="62"/>
    </w:p>
    <w:p>
      <w:pPr>
        <w:pStyle w:val="FirstParagraph"/>
      </w:pPr>
      <w:r>
        <w:t xml:space="preserve">ROP’s defensibility rests on three primary moats, each segment-specific:</w:t>
      </w:r>
    </w:p>
    <w:p>
      <w:pPr>
        <w:pStyle w:val="Heading4"/>
      </w:pPr>
      <w:bookmarkStart w:id="63" w:name="X10843803f966bed10093271d2d0ef3e1cf973cf"/>
      <w:r>
        <w:rPr>
          <w:b/>
        </w:rPr>
        <w:t xml:space="preserve">Moat 1: Vertical Niche Dominance with High Switching Costs</w:t>
      </w:r>
      <w:bookmarkEnd w:id="63"/>
    </w:p>
    <w:p>
      <w:pPr>
        <w:pStyle w:val="FirstParagraph"/>
      </w:pPr>
      <w:r>
        <w:rPr>
          <w:b/>
        </w:rPr>
        <w:t xml:space="preserve">Application Software Segment (56.7% of revenue):</w:t>
      </w:r>
    </w:p>
    <w:p>
      <w:pPr>
        <w:pStyle w:val="BodyText"/>
      </w:pPr>
      <w:r>
        <w:t xml:space="preserve">ROP owns market-leading positions in multiple narrow verticals where customer switching is economically prohibitive:</w:t>
      </w:r>
    </w:p>
    <w:tbl>
      <w:tblPr>
        <w:tblStyle w:val="Table"/>
        <w:tblW w:type="pct" w:w="5000.0"/>
        <w:tblLook w:firstRow="1"/>
      </w:tblPr>
      <w:tblGrid>
        <w:gridCol w:w="1131"/>
        <w:gridCol w:w="1584"/>
        <w:gridCol w:w="1923"/>
        <w:gridCol w:w="1923"/>
        <w:gridCol w:w="1357"/>
      </w:tblGrid>
      <w:tr>
        <w:trPr>
          <w:cnfStyle w:firstRow="1"/>
        </w:trPr>
        <w:tc>
          <w:tcPr>
            <w:tcBorders>
              <w:bottom w:val="single"/>
            </w:tcBorders>
            <w:vAlign w:val="bottom"/>
          </w:tcPr>
          <w:p>
            <w:pPr>
              <w:pStyle w:val="Compact"/>
              <w:jc w:val="left"/>
            </w:pPr>
            <w:r>
              <w:t xml:space="preserve">Vertical</w:t>
            </w:r>
          </w:p>
        </w:tc>
        <w:tc>
          <w:tcPr>
            <w:tcBorders>
              <w:bottom w:val="single"/>
            </w:tcBorders>
            <w:vAlign w:val="bottom"/>
          </w:tcPr>
          <w:p>
            <w:pPr>
              <w:pStyle w:val="Compact"/>
              <w:jc w:val="left"/>
            </w:pPr>
            <w:r>
              <w:t xml:space="preserve">ROP Platform</w:t>
            </w:r>
          </w:p>
        </w:tc>
        <w:tc>
          <w:tcPr>
            <w:tcBorders>
              <w:bottom w:val="single"/>
            </w:tcBorders>
            <w:vAlign w:val="bottom"/>
          </w:tcPr>
          <w:p>
            <w:pPr>
              <w:pStyle w:val="Compact"/>
              <w:jc w:val="left"/>
            </w:pPr>
            <w:r>
              <w:t xml:space="preserve">Switching Costs</w:t>
            </w:r>
          </w:p>
        </w:tc>
        <w:tc>
          <w:tcPr>
            <w:tcBorders>
              <w:bottom w:val="single"/>
            </w:tcBorders>
            <w:vAlign w:val="bottom"/>
          </w:tcPr>
          <w:p>
            <w:pPr>
              <w:pStyle w:val="Compact"/>
              <w:jc w:val="left"/>
            </w:pPr>
            <w:r>
              <w:t xml:space="preserve">Market Position</w:t>
            </w:r>
          </w:p>
        </w:tc>
        <w:tc>
          <w:tcPr>
            <w:tcBorders>
              <w:bottom w:val="single"/>
            </w:tcBorders>
            <w:vAlign w:val="bottom"/>
          </w:tcPr>
          <w:p>
            <w:pPr>
              <w:pStyle w:val="Compact"/>
              <w:jc w:val="left"/>
            </w:pPr>
            <w:r>
              <w:t xml:space="preserve">Recurring %</w:t>
            </w:r>
          </w:p>
        </w:tc>
      </w:tr>
      <w:tr>
        <w:tc>
          <w:p>
            <w:pPr>
              <w:pStyle w:val="Compact"/>
              <w:jc w:val="left"/>
            </w:pPr>
            <w:r>
              <w:t xml:space="preserve">Legal Practice Mgmt</w:t>
            </w:r>
          </w:p>
        </w:tc>
        <w:tc>
          <w:p>
            <w:pPr>
              <w:pStyle w:val="Compact"/>
              <w:jc w:val="left"/>
            </w:pPr>
            <w:r>
              <w:t xml:space="preserve">Aderant</w:t>
            </w:r>
          </w:p>
        </w:tc>
        <w:tc>
          <w:p>
            <w:pPr>
              <w:pStyle w:val="Compact"/>
              <w:jc w:val="left"/>
            </w:pPr>
            <w:r>
              <w:t xml:space="preserve">High (10+ years of client data, billing integration, regulatory compliance)</w:t>
            </w:r>
          </w:p>
        </w:tc>
        <w:tc>
          <w:p>
            <w:pPr>
              <w:pStyle w:val="Compact"/>
              <w:jc w:val="left"/>
            </w:pPr>
            <w:r>
              <w:t xml:space="preserve">Leader (est. #2–3)</w:t>
            </w:r>
          </w:p>
        </w:tc>
        <w:tc>
          <w:p>
            <w:pPr>
              <w:pStyle w:val="Compact"/>
              <w:jc w:val="left"/>
            </w:pPr>
            <w:r>
              <w:t xml:space="preserve">85%+</w:t>
            </w:r>
          </w:p>
        </w:tc>
      </w:tr>
      <w:tr>
        <w:tc>
          <w:p>
            <w:pPr>
              <w:pStyle w:val="Compact"/>
              <w:jc w:val="left"/>
            </w:pPr>
            <w:r>
              <w:t xml:space="preserve">ABA Therapy</w:t>
            </w:r>
          </w:p>
        </w:tc>
        <w:tc>
          <w:p>
            <w:pPr>
              <w:pStyle w:val="Compact"/>
              <w:jc w:val="left"/>
            </w:pPr>
            <w:r>
              <w:t xml:space="preserve">CentralReach</w:t>
            </w:r>
          </w:p>
        </w:tc>
        <w:tc>
          <w:p>
            <w:pPr>
              <w:pStyle w:val="Compact"/>
              <w:jc w:val="left"/>
            </w:pPr>
            <w:r>
              <w:t xml:space="preserve">Very High (patient records, therapist scheduling, outcomes tracking, insurer integration)</w:t>
            </w:r>
          </w:p>
        </w:tc>
        <w:tc>
          <w:p>
            <w:pPr>
              <w:pStyle w:val="Compact"/>
              <w:jc w:val="left"/>
            </w:pPr>
            <w:r>
              <w:t xml:space="preserve">Leader (#1–2 in SaaS)</w:t>
            </w:r>
          </w:p>
        </w:tc>
        <w:tc>
          <w:p>
            <w:pPr>
              <w:pStyle w:val="Compact"/>
              <w:jc w:val="left"/>
            </w:pPr>
            <w:r>
              <w:t xml:space="preserve">90%+</w:t>
            </w:r>
          </w:p>
        </w:tc>
      </w:tr>
      <w:tr>
        <w:tc>
          <w:p>
            <w:pPr>
              <w:pStyle w:val="Compact"/>
              <w:jc w:val="left"/>
            </w:pPr>
            <w:r>
              <w:t xml:space="preserve">K–12 Admin</w:t>
            </w:r>
          </w:p>
        </w:tc>
        <w:tc>
          <w:p>
            <w:pPr>
              <w:pStyle w:val="Compact"/>
              <w:jc w:val="left"/>
            </w:pPr>
            <w:r>
              <w:t xml:space="preserve">Frontline</w:t>
            </w:r>
          </w:p>
        </w:tc>
        <w:tc>
          <w:p>
            <w:pPr>
              <w:pStyle w:val="Compact"/>
              <w:jc w:val="left"/>
            </w:pPr>
            <w:r>
              <w:t xml:space="preserve">High (student records, meal systems, transportation, grading)</w:t>
            </w:r>
          </w:p>
        </w:tc>
        <w:tc>
          <w:p>
            <w:pPr>
              <w:pStyle w:val="Compact"/>
              <w:jc w:val="left"/>
            </w:pPr>
            <w:r>
              <w:t xml:space="preserve">Leader (est. #1)</w:t>
            </w:r>
          </w:p>
        </w:tc>
        <w:tc>
          <w:p>
            <w:pPr>
              <w:pStyle w:val="Compact"/>
              <w:jc w:val="left"/>
            </w:pPr>
            <w:r>
              <w:t xml:space="preserve">85%+</w:t>
            </w:r>
          </w:p>
        </w:tc>
      </w:tr>
      <w:tr>
        <w:tc>
          <w:p>
            <w:pPr>
              <w:pStyle w:val="Compact"/>
              <w:jc w:val="left"/>
            </w:pPr>
            <w:r>
              <w:t xml:space="preserve">Childcare Mgmt</w:t>
            </w:r>
          </w:p>
        </w:tc>
        <w:tc>
          <w:p>
            <w:pPr>
              <w:pStyle w:val="Compact"/>
              <w:jc w:val="left"/>
            </w:pPr>
            <w:r>
              <w:t xml:space="preserve">Procare</w:t>
            </w:r>
          </w:p>
        </w:tc>
        <w:tc>
          <w:p>
            <w:pPr>
              <w:pStyle w:val="Compact"/>
              <w:jc w:val="left"/>
            </w:pPr>
            <w:r>
              <w:t xml:space="preserve">High (child records, parent portals, billing, state compliance)</w:t>
            </w:r>
          </w:p>
        </w:tc>
        <w:tc>
          <w:p>
            <w:pPr>
              <w:pStyle w:val="Compact"/>
              <w:jc w:val="left"/>
            </w:pPr>
            <w:r>
              <w:t xml:space="preserve">Leader (#1)</w:t>
            </w:r>
          </w:p>
        </w:tc>
        <w:tc>
          <w:p>
            <w:pPr>
              <w:pStyle w:val="Compact"/>
              <w:jc w:val="left"/>
            </w:pPr>
            <w:r>
              <w:t xml:space="preserve">90%+</w:t>
            </w:r>
          </w:p>
        </w:tc>
      </w:tr>
      <w:tr>
        <w:tc>
          <w:p>
            <w:pPr>
              <w:pStyle w:val="Compact"/>
              <w:jc w:val="left"/>
            </w:pPr>
            <w:r>
              <w:t xml:space="preserve">Campus Payments</w:t>
            </w:r>
          </w:p>
        </w:tc>
        <w:tc>
          <w:p>
            <w:pPr>
              <w:pStyle w:val="Compact"/>
              <w:jc w:val="left"/>
            </w:pPr>
            <w:r>
              <w:t xml:space="preserve">CBORD/Transact/Illumia</w:t>
            </w:r>
          </w:p>
        </w:tc>
        <w:tc>
          <w:p>
            <w:pPr>
              <w:pStyle w:val="Compact"/>
              <w:jc w:val="left"/>
            </w:pPr>
            <w:r>
              <w:t xml:space="preserve">High (meal plans, room access, library systems, cashless campus)</w:t>
            </w:r>
          </w:p>
        </w:tc>
        <w:tc>
          <w:p>
            <w:pPr>
              <w:pStyle w:val="Compact"/>
              <w:jc w:val="left"/>
            </w:pPr>
            <w:r>
              <w:t xml:space="preserve">Leader (#1)</w:t>
            </w:r>
          </w:p>
        </w:tc>
        <w:tc>
          <w:p>
            <w:pPr>
              <w:pStyle w:val="Compact"/>
              <w:jc w:val="left"/>
            </w:pPr>
            <w:r>
              <w:t xml:space="preserve">80%+</w:t>
            </w:r>
          </w:p>
        </w:tc>
      </w:tr>
      <w:tr>
        <w:tc>
          <w:p>
            <w:pPr>
              <w:pStyle w:val="Compact"/>
              <w:jc w:val="left"/>
            </w:pPr>
            <w:r>
              <w:t xml:space="preserve">Government Contractor ERP</w:t>
            </w:r>
          </w:p>
        </w:tc>
        <w:tc>
          <w:p>
            <w:pPr>
              <w:pStyle w:val="Compact"/>
              <w:jc w:val="left"/>
            </w:pPr>
            <w:r>
              <w:t xml:space="preserve">Deltek</w:t>
            </w:r>
          </w:p>
        </w:tc>
        <w:tc>
          <w:p>
            <w:pPr>
              <w:pStyle w:val="Compact"/>
              <w:jc w:val="left"/>
            </w:pPr>
            <w:r>
              <w:t xml:space="preserve">Very High (cost accounting, contract compliance, DCAA requirements, SAM.gov integration)</w:t>
            </w:r>
          </w:p>
        </w:tc>
        <w:tc>
          <w:p>
            <w:pPr>
              <w:pStyle w:val="Compact"/>
              <w:jc w:val="left"/>
            </w:pPr>
            <w:r>
              <w:t xml:space="preserve">Leader (#1 in GovCon)</w:t>
            </w:r>
          </w:p>
        </w:tc>
        <w:tc>
          <w:p>
            <w:pPr>
              <w:pStyle w:val="Compact"/>
              <w:jc w:val="left"/>
            </w:pPr>
            <w:r>
              <w:t xml:space="preserve">80%+</w:t>
            </w:r>
          </w:p>
        </w:tc>
      </w:tr>
      <w:tr>
        <w:tc>
          <w:p>
            <w:pPr>
              <w:pStyle w:val="Compact"/>
              <w:jc w:val="left"/>
            </w:pPr>
            <w:r>
              <w:t xml:space="preserve">Insurance Distribution</w:t>
            </w:r>
          </w:p>
        </w:tc>
        <w:tc>
          <w:p>
            <w:pPr>
              <w:pStyle w:val="Compact"/>
              <w:jc w:val="left"/>
            </w:pPr>
            <w:r>
              <w:t xml:space="preserve">Vertafore, iPipeline</w:t>
            </w:r>
          </w:p>
        </w:tc>
        <w:tc>
          <w:p>
            <w:pPr>
              <w:pStyle w:val="Compact"/>
              <w:jc w:val="left"/>
            </w:pPr>
            <w:r>
              <w:t xml:space="preserve">High (agent records, license tracking, compliance, customer database)</w:t>
            </w:r>
          </w:p>
        </w:tc>
        <w:tc>
          <w:p>
            <w:pPr>
              <w:pStyle w:val="Compact"/>
              <w:jc w:val="left"/>
            </w:pPr>
            <w:r>
              <w:t xml:space="preserve">Strong (#2–3)</w:t>
            </w:r>
          </w:p>
        </w:tc>
        <w:tc>
          <w:p>
            <w:pPr>
              <w:pStyle w:val="Compact"/>
              <w:jc w:val="left"/>
            </w:pPr>
            <w:r>
              <w:t xml:space="preserve">85%+</w:t>
            </w:r>
          </w:p>
        </w:tc>
      </w:tr>
    </w:tbl>
    <w:p>
      <w:pPr>
        <w:pStyle w:val="BodyText"/>
      </w:pPr>
      <w:r>
        <w:rPr>
          <w:b/>
        </w:rPr>
        <w:t xml:space="preserve">Switching Cost Sources (per vertical):</w:t>
      </w:r>
      <w:r>
        <w:t xml:space="preserve"> </w:t>
      </w:r>
      <w:r>
        <w:t xml:space="preserve">1.</w:t>
      </w:r>
      <w:r>
        <w:t xml:space="preserve"> </w:t>
      </w:r>
      <w:r>
        <w:rPr>
          <w:b/>
        </w:rPr>
        <w:t xml:space="preserve">Data Lock-in:</w:t>
      </w:r>
      <w:r>
        <w:t xml:space="preserve"> </w:t>
      </w:r>
      <w:r>
        <w:t xml:space="preserve">Multi-year historical client/student/patient records embedded in proprietary data schema.</w:t>
      </w:r>
      <w:r>
        <w:t xml:space="preserve"> </w:t>
      </w:r>
      <w:r>
        <w:t xml:space="preserve">2.</w:t>
      </w:r>
      <w:r>
        <w:t xml:space="preserve"> </w:t>
      </w:r>
      <w:r>
        <w:rPr>
          <w:b/>
        </w:rPr>
        <w:t xml:space="preserve">Regulatory Compliance Integration:</w:t>
      </w:r>
      <w:r>
        <w:t xml:space="preserve"> </w:t>
      </w:r>
      <w:r>
        <w:t xml:space="preserve">System must maintain state/federal compliance certifications (K–12 student privacy, HIPAA for healthcare, DCAA for defense).</w:t>
      </w:r>
      <w:r>
        <w:t xml:space="preserve"> </w:t>
      </w:r>
      <w:r>
        <w:t xml:space="preserve">3.</w:t>
      </w:r>
      <w:r>
        <w:t xml:space="preserve"> </w:t>
      </w:r>
      <w:r>
        <w:rPr>
          <w:b/>
        </w:rPr>
        <w:t xml:space="preserve">Integration Ecosystem:</w:t>
      </w:r>
      <w:r>
        <w:t xml:space="preserve"> </w:t>
      </w:r>
      <w:r>
        <w:t xml:space="preserve">Critical third-party integrations (payment processors, HR systems, compliance vendors) built on ROP platform; switching incurs IT rework.</w:t>
      </w:r>
      <w:r>
        <w:t xml:space="preserve"> </w:t>
      </w:r>
      <w:r>
        <w:t xml:space="preserve">4.</w:t>
      </w:r>
      <w:r>
        <w:t xml:space="preserve"> </w:t>
      </w:r>
      <w:r>
        <w:rPr>
          <w:b/>
        </w:rPr>
        <w:t xml:space="preserve">User Training:</w:t>
      </w:r>
      <w:r>
        <w:t xml:space="preserve"> </w:t>
      </w:r>
      <w:r>
        <w:t xml:space="preserve">Staff training and workflow optimization specific to ROP platform; replacement incurs organizational cost.</w:t>
      </w:r>
      <w:r>
        <w:t xml:space="preserve"> </w:t>
      </w:r>
      <w:r>
        <w:t xml:space="preserve">5.</w:t>
      </w:r>
      <w:r>
        <w:t xml:space="preserve"> </w:t>
      </w:r>
      <w:r>
        <w:rPr>
          <w:b/>
        </w:rPr>
        <w:t xml:space="preserve">Switching Window Constraints:</w:t>
      </w:r>
      <w:r>
        <w:t xml:space="preserve"> </w:t>
      </w:r>
      <w:r>
        <w:t xml:space="preserve">Many customers sign multi-year SaaS contracts with 12–24 month commitment periods; switching occurs at renewal or during M&amp;A.</w:t>
      </w:r>
    </w:p>
    <w:p>
      <w:pPr>
        <w:pStyle w:val="BodyText"/>
      </w:pPr>
      <w:r>
        <w:rPr>
          <w:b/>
        </w:rPr>
        <w:t xml:space="preserve">Evidence of Moat Strength:</w:t>
      </w:r>
      <w:r>
        <w:t xml:space="preserve"> </w:t>
      </w:r>
      <w:r>
        <w:t xml:space="preserve">-</w:t>
      </w:r>
      <w:r>
        <w:t xml:space="preserve"> </w:t>
      </w:r>
      <w:r>
        <w:rPr>
          <w:b/>
        </w:rPr>
        <w:t xml:space="preserve">RPO/Backlog Growth:</w:t>
      </w:r>
      <w:r>
        <w:t xml:space="preserve"> </w:t>
      </w:r>
      <w:r>
        <w:t xml:space="preserve">+9.5%/+10.3% YoY suggests minimal customer churn; high contract renewal rates expected.</w:t>
      </w:r>
      <w:r>
        <w:t xml:space="preserve"> </w:t>
      </w:r>
      <w:r>
        <w:t xml:space="preserve">-</w:t>
      </w:r>
      <w:r>
        <w:t xml:space="preserve"> </w:t>
      </w:r>
      <w:r>
        <w:rPr>
          <w:b/>
        </w:rPr>
        <w:t xml:space="preserve">Organic Revenue Growth (recurring):</w:t>
      </w:r>
      <w:r>
        <w:t xml:space="preserve"> </w:t>
      </w:r>
      <w:r>
        <w:t xml:space="preserve">+6–7% organic in Application Software indicates organic customer base expansion (upsell, cross-sell, modest new customer adds).</w:t>
      </w:r>
      <w:r>
        <w:t xml:space="preserve"> </w:t>
      </w:r>
      <w:r>
        <w:t xml:space="preserve">-</w:t>
      </w:r>
      <w:r>
        <w:t xml:space="preserve"> </w:t>
      </w:r>
      <w:r>
        <w:rPr>
          <w:b/>
        </w:rPr>
        <w:t xml:space="preserve">Margin Stability:</w:t>
      </w:r>
      <w:r>
        <w:t xml:space="preserve"> </w:t>
      </w:r>
      <w:r>
        <w:t xml:space="preserve">42.5% EBITDA margin in Application Software stable across acquisition cycles, indicating pricing power [Earnings slides].</w:t>
      </w:r>
    </w:p>
    <w:p>
      <w:pPr>
        <w:pStyle w:val="BodyText"/>
      </w:pPr>
      <w:r>
        <w:rPr>
          <w:b/>
        </w:rPr>
        <w:t xml:space="preserve">Limitations/Risks:</w:t>
      </w:r>
      <w:r>
        <w:t xml:space="preserve"> </w:t>
      </w:r>
      <w:r>
        <w:t xml:space="preserve">-</w:t>
      </w:r>
      <w:r>
        <w:t xml:space="preserve"> </w:t>
      </w:r>
      <w:r>
        <w:rPr>
          <w:b/>
        </w:rPr>
        <w:t xml:space="preserve">Cloud Migration Burden:</w:t>
      </w:r>
      <w:r>
        <w:t xml:space="preserve"> </w:t>
      </w:r>
      <w:r>
        <w:t xml:space="preserve">Legacy on-premise systems (Deltek, some Frontline deployments) require migration to cloud; transitional period creates churn risk.</w:t>
      </w:r>
      <w:r>
        <w:t xml:space="preserve"> </w:t>
      </w:r>
      <w:r>
        <w:t xml:space="preserve">- Management flagged Deltek cloud migration as 2026+ opportunity but cautioned on near-term revenue overlap [Q4 2025 call].</w:t>
      </w:r>
      <w:r>
        <w:t xml:space="preserve"> </w:t>
      </w:r>
      <w:r>
        <w:t xml:space="preserve">- Procare implementation delays cited as cloud/scaling issue [Q4 2025 call].</w:t>
      </w:r>
      <w:r>
        <w:t xml:space="preserve"> </w:t>
      </w:r>
      <w:r>
        <w:t xml:space="preserve">-</w:t>
      </w:r>
      <w:r>
        <w:t xml:space="preserve"> </w:t>
      </w:r>
      <w:r>
        <w:rPr>
          <w:b/>
        </w:rPr>
        <w:t xml:space="preserve">Competitive Pressure from Larger ERP Vendors:</w:t>
      </w:r>
      <w:r>
        <w:t xml:space="preserve"> </w:t>
      </w:r>
      <w:r>
        <w:t xml:space="preserve">SAP, Oracle, Microsoft (Dynamics 365) are encroaching into mid-market government contracting and K–12 verticals; however, ROP’s niche focus and embedded compliance suites provide defensive posture.</w:t>
      </w:r>
    </w:p>
    <w:p>
      <w:pPr>
        <w:pStyle w:val="BodyText"/>
      </w:pPr>
      <w:r>
        <w:t xml:space="preserve">[Sources: Q4 2025 Earnings Call, segment narrative commentary, 10-K customer concentration disclosure.]</w:t>
      </w:r>
    </w:p>
    <w:p>
      <w:r>
        <w:pict>
          <v:rect style="width:0;height:1.5pt" o:hralign="center" o:hrstd="t" o:hr="t"/>
        </w:pict>
      </w:r>
    </w:p>
    <w:p>
      <w:pPr>
        <w:pStyle w:val="Heading4"/>
      </w:pPr>
      <w:bookmarkStart w:id="64" w:name="Xf40da2354295e894b89130f8c36f674c99bf6de"/>
      <w:r>
        <w:rPr>
          <w:b/>
        </w:rPr>
        <w:t xml:space="preserve">Moat 2: Network Effects (Two-Sided Marketplaces)</w:t>
      </w:r>
      <w:bookmarkEnd w:id="64"/>
    </w:p>
    <w:p>
      <w:pPr>
        <w:pStyle w:val="FirstParagraph"/>
      </w:pPr>
      <w:r>
        <w:rPr>
          <w:b/>
        </w:rPr>
        <w:t xml:space="preserve">Network Software Segment (20.3% of revenue):</w:t>
      </w:r>
    </w:p>
    <w:p>
      <w:pPr>
        <w:pStyle w:val="BodyText"/>
      </w:pPr>
      <w:r>
        <w:t xml:space="preserve">Two platforms exhibit classical two-sided marketplace network effects:</w:t>
      </w:r>
    </w:p>
    <w:p>
      <w:pPr>
        <w:pStyle w:val="BodyText"/>
      </w:pPr>
      <w:r>
        <w:rPr>
          <w:b/>
        </w:rPr>
        <w:t xml:space="preserve">DAT (Freight Marketplace):</w:t>
      </w:r>
      <w:r>
        <w:t xml:space="preserve"> </w:t>
      </w:r>
      <w:r>
        <w:t xml:space="preserve">-</w:t>
      </w:r>
      <w:r>
        <w:t xml:space="preserve"> </w:t>
      </w:r>
      <w:r>
        <w:rPr>
          <w:b/>
        </w:rPr>
        <w:t xml:space="preserve">Users:</w:t>
      </w:r>
      <w:r>
        <w:t xml:space="preserve"> </w:t>
      </w:r>
      <w:r>
        <w:t xml:space="preserve">Shippers and freight carriers (trucking companies).</w:t>
      </w:r>
      <w:r>
        <w:t xml:space="preserve"> </w:t>
      </w:r>
      <w:r>
        <w:t xml:space="preserve">-</w:t>
      </w:r>
      <w:r>
        <w:t xml:space="preserve"> </w:t>
      </w:r>
      <w:r>
        <w:rPr>
          <w:b/>
        </w:rPr>
        <w:t xml:space="preserve">Network Effect:</w:t>
      </w:r>
      <w:r>
        <w:t xml:space="preserve"> </w:t>
      </w:r>
      <w:r>
        <w:t xml:space="preserve">Shipper attraction → more load listings → carrier attraction → more capacity → shipper retention.</w:t>
      </w:r>
      <w:r>
        <w:t xml:space="preserve"> </w:t>
      </w:r>
      <w:r>
        <w:t xml:space="preserve">-</w:t>
      </w:r>
      <w:r>
        <w:t xml:space="preserve"> </w:t>
      </w:r>
      <w:r>
        <w:rPr>
          <w:b/>
        </w:rPr>
        <w:t xml:space="preserve">Switching Cost:</w:t>
      </w:r>
      <w:r>
        <w:t xml:space="preserve"> </w:t>
      </w:r>
      <w:r>
        <w:t xml:space="preserve">High (shipper/carrier base is locked; integrating multi-platform for load sourcing/tendering is inefficient).</w:t>
      </w:r>
      <w:r>
        <w:t xml:space="preserve"> </w:t>
      </w:r>
      <w:r>
        <w:t xml:space="preserve">-</w:t>
      </w:r>
      <w:r>
        <w:t xml:space="preserve"> </w:t>
      </w:r>
      <w:r>
        <w:rPr>
          <w:b/>
        </w:rPr>
        <w:t xml:space="preserve">Recent Evolution:</w:t>
      </w:r>
      <w:r>
        <w:t xml:space="preserve"> </w:t>
      </w:r>
      <w:r>
        <w:t xml:space="preserve">Moving from</w:t>
      </w:r>
      <w:r>
        <w:t xml:space="preserve"> </w:t>
      </w:r>
      <w:r>
        <w:t xml:space="preserve">“</w:t>
      </w:r>
      <w:r>
        <w:t xml:space="preserve">load board</w:t>
      </w:r>
      <w:r>
        <w:t xml:space="preserve">”</w:t>
      </w:r>
      <w:r>
        <w:t xml:space="preserve"> </w:t>
      </w:r>
      <w:r>
        <w:t xml:space="preserve">(passive posting) to</w:t>
      </w:r>
      <w:r>
        <w:t xml:space="preserve"> </w:t>
      </w:r>
      <w:r>
        <w:t xml:space="preserve">“</w:t>
      </w:r>
      <w:r>
        <w:t xml:space="preserve">automated marketplace</w:t>
      </w:r>
      <w:r>
        <w:t xml:space="preserve">”</w:t>
      </w:r>
      <w:r>
        <w:t xml:space="preserve"> </w:t>
      </w:r>
      <w:r>
        <w:t xml:space="preserve">(algorithmic matching, instant booking). ARPU expansion ongoing as automation premium features roll out [Q4 2025 call].</w:t>
      </w:r>
      <w:r>
        <w:t xml:space="preserve"> </w:t>
      </w:r>
      <w:r>
        <w:t xml:space="preserve">-</w:t>
      </w:r>
      <w:r>
        <w:t xml:space="preserve"> </w:t>
      </w:r>
      <w:r>
        <w:rPr>
          <w:b/>
        </w:rPr>
        <w:t xml:space="preserve">FY2025 Performance:</w:t>
      </w:r>
      <w:r>
        <w:t xml:space="preserve"> </w:t>
      </w:r>
      <w:r>
        <w:t xml:space="preserve">+4% organic growth; management notes freight market headwinds but emphasizes platform durability; FY2026 guidance assumes no recovery [Q4 2025 call].</w:t>
      </w:r>
      <w:r>
        <w:t xml:space="preserve"> </w:t>
      </w:r>
      <w:r>
        <w:t xml:space="preserve">-</w:t>
      </w:r>
      <w:r>
        <w:t xml:space="preserve"> </w:t>
      </w:r>
      <w:r>
        <w:rPr>
          <w:b/>
        </w:rPr>
        <w:t xml:space="preserve">Defensibility:</w:t>
      </w:r>
      <w:r>
        <w:t xml:space="preserve"> </w:t>
      </w:r>
      <w:r>
        <w:t xml:space="preserve">DAT’s network is ~15–20 years old; competitor penetration (Convoy, Loadsmart) exists but has not materially eroded share; freight brokers and carriers remain sticky [Industry research, Q4 2025 call].</w:t>
      </w:r>
    </w:p>
    <w:p>
      <w:pPr>
        <w:pStyle w:val="BodyText"/>
      </w:pPr>
      <w:r>
        <w:rPr>
          <w:b/>
        </w:rPr>
        <w:t xml:space="preserve">ConstructConnect (Preconstruction Intelligence):</w:t>
      </w:r>
      <w:r>
        <w:t xml:space="preserve"> </w:t>
      </w:r>
      <w:r>
        <w:t xml:space="preserve">-</w:t>
      </w:r>
      <w:r>
        <w:t xml:space="preserve"> </w:t>
      </w:r>
      <w:r>
        <w:rPr>
          <w:b/>
        </w:rPr>
        <w:t xml:space="preserve">Users:</w:t>
      </w:r>
      <w:r>
        <w:t xml:space="preserve"> </w:t>
      </w:r>
      <w:r>
        <w:t xml:space="preserve">General contractors, subcontractors, material suppliers.</w:t>
      </w:r>
      <w:r>
        <w:t xml:space="preserve"> </w:t>
      </w:r>
      <w:r>
        <w:t xml:space="preserve">-</w:t>
      </w:r>
      <w:r>
        <w:t xml:space="preserve"> </w:t>
      </w:r>
      <w:r>
        <w:rPr>
          <w:b/>
        </w:rPr>
        <w:t xml:space="preserve">Network Effect:</w:t>
      </w:r>
      <w:r>
        <w:t xml:space="preserve"> </w:t>
      </w:r>
      <w:r>
        <w:t xml:space="preserve">Bid alert distribution → contractor attracts more jobs → attracts more subcontractors → attracts more material suppliers → better job intelligence.</w:t>
      </w:r>
      <w:r>
        <w:t xml:space="preserve"> </w:t>
      </w:r>
      <w:r>
        <w:t xml:space="preserve">-</w:t>
      </w:r>
      <w:r>
        <w:t xml:space="preserve"> </w:t>
      </w:r>
      <w:r>
        <w:rPr>
          <w:b/>
        </w:rPr>
        <w:t xml:space="preserve">Switching Cost:</w:t>
      </w:r>
      <w:r>
        <w:t xml:space="preserve"> </w:t>
      </w:r>
      <w:r>
        <w:t xml:space="preserve">High (GC/subcontractor workflows depend on early bid awareness; switching requires organizational adoption of alternative data provider).</w:t>
      </w:r>
      <w:r>
        <w:t xml:space="preserve"> </w:t>
      </w:r>
      <w:r>
        <w:t xml:space="preserve">-</w:t>
      </w:r>
      <w:r>
        <w:t xml:space="preserve"> </w:t>
      </w:r>
      <w:r>
        <w:rPr>
          <w:b/>
        </w:rPr>
        <w:t xml:space="preserve">FY2025 Performance:</w:t>
      </w:r>
      <w:r>
        <w:t xml:space="preserve"> </w:t>
      </w:r>
      <w:r>
        <w:t xml:space="preserve">Steady organic growth (est. mid-single digits within Network Software segment); recurring revenue base stable.</w:t>
      </w:r>
      <w:r>
        <w:t xml:space="preserve"> </w:t>
      </w:r>
      <w:r>
        <w:t xml:space="preserve">-</w:t>
      </w:r>
      <w:r>
        <w:t xml:space="preserve"> </w:t>
      </w:r>
      <w:r>
        <w:rPr>
          <w:b/>
        </w:rPr>
        <w:t xml:space="preserve">Defensibility:</w:t>
      </w:r>
      <w:r>
        <w:t xml:space="preserve"> </w:t>
      </w:r>
      <w:r>
        <w:t xml:space="preserve">ConstructConnect’s bid data is derived from public/private sources (Dodge, RS Means, state bid boards); differentiation is in data curation, contractor intelligence, and mobile app UX. Newer competitors (PlanHub, Buildr) exist but lack scale; switching costs remain high [Industry research, Q4 2025 call].</w:t>
      </w:r>
    </w:p>
    <w:p>
      <w:pPr>
        <w:pStyle w:val="BodyText"/>
      </w:pPr>
      <w:r>
        <w:rPr>
          <w:b/>
        </w:rPr>
        <w:t xml:space="preserve">Other Network Platforms (Subsplash, iTradeNetwork, SHP):</w:t>
      </w:r>
      <w:r>
        <w:t xml:space="preserve"> </w:t>
      </w:r>
      <w:r>
        <w:t xml:space="preserve">-</w:t>
      </w:r>
      <w:r>
        <w:t xml:space="preserve"> </w:t>
      </w:r>
      <w:r>
        <w:rPr>
          <w:b/>
        </w:rPr>
        <w:t xml:space="preserve">Subsplash:</w:t>
      </w:r>
      <w:r>
        <w:t xml:space="preserve"> </w:t>
      </w:r>
      <w:r>
        <w:t xml:space="preserve">Faith-based community platform (church management, streaming, giving, events). Network effect is moderate (community stickiness within a given church, but low switching cost if congregation relocates); value prop is</w:t>
      </w:r>
      <w:r>
        <w:t xml:space="preserve"> </w:t>
      </w:r>
      <w:r>
        <w:t xml:space="preserve">“</w:t>
      </w:r>
      <w:r>
        <w:t xml:space="preserve">all-in-one</w:t>
      </w:r>
      <w:r>
        <w:t xml:space="preserve">”</w:t>
      </w:r>
      <w:r>
        <w:t xml:space="preserve"> </w:t>
      </w:r>
      <w:r>
        <w:t xml:space="preserve">for faith leaders, not network per se.</w:t>
      </w:r>
      <w:r>
        <w:t xml:space="preserve"> </w:t>
      </w:r>
      <w:r>
        <w:t xml:space="preserve">-</w:t>
      </w:r>
      <w:r>
        <w:t xml:space="preserve"> </w:t>
      </w:r>
      <w:r>
        <w:rPr>
          <w:b/>
        </w:rPr>
        <w:t xml:space="preserve">iTradeNetwork:</w:t>
      </w:r>
      <w:r>
        <w:t xml:space="preserve"> </w:t>
      </w:r>
      <w:r>
        <w:t xml:space="preserve">Food supply chain collaboration (supplier visibility, compliance tracking). Network effects exist (supplier participation → buyer attraction → supply chain transparency → compliance benefit) but are weaker than DAT/ConstructConnect due to fragmentation of food supply chain by customer type (food service, QSR, retail, distribution).</w:t>
      </w:r>
    </w:p>
    <w:p>
      <w:pPr>
        <w:pStyle w:val="BodyText"/>
      </w:pPr>
      <w:r>
        <w:rPr>
          <w:b/>
        </w:rPr>
        <w:t xml:space="preserve">Network Moat Assessment:</w:t>
      </w:r>
      <w:r>
        <w:t xml:space="preserve"> </w:t>
      </w:r>
      <w:r>
        <w:t xml:space="preserve">- ✓</w:t>
      </w:r>
      <w:r>
        <w:t xml:space="preserve"> </w:t>
      </w:r>
      <w:r>
        <w:rPr>
          <w:b/>
        </w:rPr>
        <w:t xml:space="preserve">DAT:</w:t>
      </w:r>
      <w:r>
        <w:t xml:space="preserve"> </w:t>
      </w:r>
      <w:r>
        <w:t xml:space="preserve">Strong moat; 20-year network, ARPU expansion traction, freight market durability.</w:t>
      </w:r>
      <w:r>
        <w:t xml:space="preserve"> </w:t>
      </w:r>
      <w:r>
        <w:t xml:space="preserve">- ✓</w:t>
      </w:r>
      <w:r>
        <w:t xml:space="preserve"> </w:t>
      </w:r>
      <w:r>
        <w:rPr>
          <w:b/>
        </w:rPr>
        <w:t xml:space="preserve">ConstructConnect:</w:t>
      </w:r>
      <w:r>
        <w:t xml:space="preserve"> </w:t>
      </w:r>
      <w:r>
        <w:t xml:space="preserve">Strong moat; bid data is not easily replicated; contractor/subcontractor base locked in.</w:t>
      </w:r>
      <w:r>
        <w:t xml:space="preserve"> </w:t>
      </w:r>
      <w:r>
        <w:t xml:space="preserve">- ⚠️</w:t>
      </w:r>
      <w:r>
        <w:t xml:space="preserve"> </w:t>
      </w:r>
      <w:r>
        <w:rPr>
          <w:b/>
        </w:rPr>
        <w:t xml:space="preserve">Subsplash:</w:t>
      </w:r>
      <w:r>
        <w:t xml:space="preserve"> </w:t>
      </w:r>
      <w:r>
        <w:t xml:space="preserve">Moderate moat; all-in-one platform defensible at customer level, but switching cost is lower than Application Software (less mission-critical workflow integration).</w:t>
      </w:r>
    </w:p>
    <w:p>
      <w:pPr>
        <w:pStyle w:val="BodyText"/>
      </w:pPr>
      <w:r>
        <w:t xml:space="preserve">[Sources: Q4 2025 Earnings Call, segment narrative, 10-K.]</w:t>
      </w:r>
    </w:p>
    <w:p>
      <w:r>
        <w:pict>
          <v:rect style="width:0;height:1.5pt" o:hralign="center" o:hrstd="t" o:hr="t"/>
        </w:pict>
      </w:r>
    </w:p>
    <w:p>
      <w:pPr>
        <w:pStyle w:val="Heading4"/>
      </w:pPr>
      <w:bookmarkStart w:id="65" w:name="Xd7f5a7860afcbb662a6ee8775b8b1266162ad87"/>
      <w:r>
        <w:rPr>
          <w:b/>
        </w:rPr>
        <w:t xml:space="preserve">Moat 3: Mission-Critical Workflow Embeddedness and Data Portability Friction</w:t>
      </w:r>
      <w:bookmarkEnd w:id="65"/>
    </w:p>
    <w:p>
      <w:pPr>
        <w:pStyle w:val="FirstParagraph"/>
      </w:pPr>
      <w:r>
        <w:rPr>
          <w:b/>
        </w:rPr>
        <w:t xml:space="preserve">Across All Segments:</w:t>
      </w:r>
    </w:p>
    <w:p>
      <w:pPr>
        <w:pStyle w:val="BodyText"/>
      </w:pPr>
      <w:r>
        <w:t xml:space="preserve">ROP’s platforms occupy critical junctures in customer workflows where interruption = business disruption:</w:t>
      </w:r>
    </w:p>
    <w:tbl>
      <w:tblPr>
        <w:tblStyle w:val="Table"/>
        <w:tblW w:type="pct" w:w="5000.0"/>
        <w:tblLook w:firstRow="1"/>
      </w:tblPr>
      <w:tblGrid>
        <w:gridCol w:w="1584"/>
        <w:gridCol w:w="2217"/>
        <w:gridCol w:w="4118"/>
      </w:tblGrid>
      <w:tr>
        <w:trPr>
          <w:cnfStyle w:firstRow="1"/>
        </w:trPr>
        <w:tc>
          <w:tcPr>
            <w:tcBorders>
              <w:bottom w:val="single"/>
            </w:tcBorders>
            <w:vAlign w:val="bottom"/>
          </w:tcPr>
          <w:p>
            <w:pPr>
              <w:pStyle w:val="Compact"/>
              <w:jc w:val="left"/>
            </w:pPr>
            <w:r>
              <w:t xml:space="preserve">Workflow</w:t>
            </w:r>
          </w:p>
        </w:tc>
        <w:tc>
          <w:tcPr>
            <w:tcBorders>
              <w:bottom w:val="single"/>
            </w:tcBorders>
            <w:vAlign w:val="bottom"/>
          </w:tcPr>
          <w:p>
            <w:pPr>
              <w:pStyle w:val="Compact"/>
              <w:jc w:val="left"/>
            </w:pPr>
            <w:r>
              <w:t xml:space="preserve">ROP Platform</w:t>
            </w:r>
          </w:p>
        </w:tc>
        <w:tc>
          <w:tcPr>
            <w:tcBorders>
              <w:bottom w:val="single"/>
            </w:tcBorders>
            <w:vAlign w:val="bottom"/>
          </w:tcPr>
          <w:p>
            <w:pPr>
              <w:pStyle w:val="Compact"/>
              <w:jc w:val="left"/>
            </w:pPr>
            <w:r>
              <w:t xml:space="preserve">Consequence of Switching</w:t>
            </w:r>
          </w:p>
        </w:tc>
      </w:tr>
      <w:tr>
        <w:tc>
          <w:p>
            <w:pPr>
              <w:pStyle w:val="Compact"/>
              <w:jc w:val="left"/>
            </w:pPr>
            <w:r>
              <w:t xml:space="preserve">K–12 grading &amp; attendance</w:t>
            </w:r>
          </w:p>
        </w:tc>
        <w:tc>
          <w:p>
            <w:pPr>
              <w:pStyle w:val="Compact"/>
              <w:jc w:val="left"/>
            </w:pPr>
            <w:r>
              <w:t xml:space="preserve">Frontline</w:t>
            </w:r>
          </w:p>
        </w:tc>
        <w:tc>
          <w:p>
            <w:pPr>
              <w:pStyle w:val="Compact"/>
              <w:jc w:val="left"/>
            </w:pPr>
            <w:r>
              <w:t xml:space="preserve">Cannot issue report cards; federal FERPA violations if data lost</w:t>
            </w:r>
          </w:p>
        </w:tc>
      </w:tr>
      <w:tr>
        <w:tc>
          <w:p>
            <w:pPr>
              <w:pStyle w:val="Compact"/>
              <w:jc w:val="left"/>
            </w:pPr>
            <w:r>
              <w:t xml:space="preserve">ABA therapy outcomes tracking</w:t>
            </w:r>
          </w:p>
        </w:tc>
        <w:tc>
          <w:p>
            <w:pPr>
              <w:pStyle w:val="Compact"/>
              <w:jc w:val="left"/>
            </w:pPr>
            <w:r>
              <w:t xml:space="preserve">CentralReach</w:t>
            </w:r>
          </w:p>
        </w:tc>
        <w:tc>
          <w:p>
            <w:pPr>
              <w:pStyle w:val="Compact"/>
              <w:jc w:val="left"/>
            </w:pPr>
            <w:r>
              <w:t xml:space="preserve">Cannot bill insurance; regulatory non-compliance (insurance commission audits)</w:t>
            </w:r>
          </w:p>
        </w:tc>
      </w:tr>
      <w:tr>
        <w:tc>
          <w:p>
            <w:pPr>
              <w:pStyle w:val="Compact"/>
              <w:jc w:val="left"/>
            </w:pPr>
            <w:r>
              <w:t xml:space="preserve">Legal billing &amp; compliance</w:t>
            </w:r>
          </w:p>
        </w:tc>
        <w:tc>
          <w:p>
            <w:pPr>
              <w:pStyle w:val="Compact"/>
              <w:jc w:val="left"/>
            </w:pPr>
            <w:r>
              <w:t xml:space="preserve">Aderant</w:t>
            </w:r>
          </w:p>
        </w:tc>
        <w:tc>
          <w:p>
            <w:pPr>
              <w:pStyle w:val="Compact"/>
              <w:jc w:val="left"/>
            </w:pPr>
            <w:r>
              <w:t xml:space="preserve">Malpractice liability if client time/billing records misaligned</w:t>
            </w:r>
          </w:p>
        </w:tc>
      </w:tr>
      <w:tr>
        <w:tc>
          <w:p>
            <w:pPr>
              <w:pStyle w:val="Compact"/>
              <w:jc w:val="left"/>
            </w:pPr>
            <w:r>
              <w:t xml:space="preserve">Government contractor DCAA costing</w:t>
            </w:r>
          </w:p>
        </w:tc>
        <w:tc>
          <w:p>
            <w:pPr>
              <w:pStyle w:val="Compact"/>
              <w:jc w:val="left"/>
            </w:pPr>
            <w:r>
              <w:t xml:space="preserve">Deltek</w:t>
            </w:r>
          </w:p>
        </w:tc>
        <w:tc>
          <w:p>
            <w:pPr>
              <w:pStyle w:val="Compact"/>
              <w:jc w:val="left"/>
            </w:pPr>
            <w:r>
              <w:t xml:space="preserve">Cannot bid on contracts; audit failures result in contract suspension</w:t>
            </w:r>
          </w:p>
        </w:tc>
      </w:tr>
      <w:tr>
        <w:tc>
          <w:p>
            <w:pPr>
              <w:pStyle w:val="Compact"/>
              <w:jc w:val="left"/>
            </w:pPr>
            <w:r>
              <w:t xml:space="preserve">Campus dining/access control</w:t>
            </w:r>
          </w:p>
        </w:tc>
        <w:tc>
          <w:p>
            <w:pPr>
              <w:pStyle w:val="Compact"/>
              <w:jc w:val="left"/>
            </w:pPr>
            <w:r>
              <w:t xml:space="preserve">CBORD/Transact</w:t>
            </w:r>
          </w:p>
        </w:tc>
        <w:tc>
          <w:p>
            <w:pPr>
              <w:pStyle w:val="Compact"/>
              <w:jc w:val="left"/>
            </w:pPr>
            <w:r>
              <w:t xml:space="preserve">Campus operations halted (dining, residence access, library, etc.)</w:t>
            </w:r>
          </w:p>
        </w:tc>
      </w:tr>
      <w:tr>
        <w:tc>
          <w:p>
            <w:pPr>
              <w:pStyle w:val="Compact"/>
              <w:jc w:val="left"/>
            </w:pPr>
            <w:r>
              <w:t xml:space="preserve">Childcare operations</w:t>
            </w:r>
          </w:p>
        </w:tc>
        <w:tc>
          <w:p>
            <w:pPr>
              <w:pStyle w:val="Compact"/>
              <w:jc w:val="left"/>
            </w:pPr>
            <w:r>
              <w:t xml:space="preserve">Procare</w:t>
            </w:r>
          </w:p>
        </w:tc>
        <w:tc>
          <w:p>
            <w:pPr>
              <w:pStyle w:val="Compact"/>
              <w:jc w:val="left"/>
            </w:pPr>
            <w:r>
              <w:t xml:space="preserve">State licensing violations if attendance/staffing records unavailable</w:t>
            </w:r>
          </w:p>
        </w:tc>
      </w:tr>
    </w:tbl>
    <w:p>
      <w:pPr>
        <w:pStyle w:val="BodyText"/>
      </w:pPr>
      <w:r>
        <w:rPr>
          <w:b/>
        </w:rPr>
        <w:t xml:space="preserve">Data Portability Friction:</w:t>
      </w:r>
      <w:r>
        <w:t xml:space="preserve"> </w:t>
      </w:r>
      <w:r>
        <w:t xml:space="preserve">-</w:t>
      </w:r>
      <w:r>
        <w:t xml:space="preserve"> </w:t>
      </w:r>
      <w:r>
        <w:rPr>
          <w:b/>
        </w:rPr>
        <w:t xml:space="preserve">Proprietary Schemas:</w:t>
      </w:r>
      <w:r>
        <w:t xml:space="preserve"> </w:t>
      </w:r>
      <w:r>
        <w:t xml:space="preserve">ROP platforms store customer data in custom schemas optimized for workflow but not easily exportable to third-party systems.</w:t>
      </w:r>
      <w:r>
        <w:t xml:space="preserve"> </w:t>
      </w:r>
      <w:r>
        <w:t xml:space="preserve">-</w:t>
      </w:r>
      <w:r>
        <w:t xml:space="preserve"> </w:t>
      </w:r>
      <w:r>
        <w:rPr>
          <w:b/>
        </w:rPr>
        <w:t xml:space="preserve">Regulatory Export Constraints:</w:t>
      </w:r>
      <w:r>
        <w:t xml:space="preserve"> </w:t>
      </w:r>
      <w:r>
        <w:t xml:space="preserve">HIPAA, FERPA, DCAA regulations restrict data export timelines (e.g., must retain for 5–7 years); cloud platform migrations are tightly controlled.</w:t>
      </w:r>
      <w:r>
        <w:t xml:space="preserve"> </w:t>
      </w:r>
      <w:r>
        <w:t xml:space="preserve">-</w:t>
      </w:r>
      <w:r>
        <w:t xml:space="preserve"> </w:t>
      </w:r>
      <w:r>
        <w:rPr>
          <w:b/>
        </w:rPr>
        <w:t xml:space="preserve">Integration Depth:</w:t>
      </w:r>
      <w:r>
        <w:t xml:space="preserve"> </w:t>
      </w:r>
      <w:r>
        <w:t xml:space="preserve">Mission-critical systems are integrated with payment processors, HR systems, compliance APIs; ripping out ROP platform requires re-integration (12–18 month implementation burden).</w:t>
      </w:r>
    </w:p>
    <w:p>
      <w:pPr>
        <w:pStyle w:val="BodyText"/>
      </w:pPr>
      <w:r>
        <w:rPr>
          <w:b/>
        </w:rPr>
        <w:t xml:space="preserve">Quantification of Embeddedness:</w:t>
      </w:r>
      <w:r>
        <w:t xml:space="preserve"> </w:t>
      </w:r>
      <w:r>
        <w:t xml:space="preserve">-</w:t>
      </w:r>
      <w:r>
        <w:t xml:space="preserve"> </w:t>
      </w:r>
      <w:r>
        <w:rPr>
          <w:b/>
        </w:rPr>
        <w:t xml:space="preserve">Recurring revenue % (FY2025):</w:t>
      </w:r>
      <w:r>
        <w:t xml:space="preserve"> </w:t>
      </w:r>
      <w:r>
        <w:t xml:space="preserve">56.7% of total revenue ($4,483M recurring) vs. 10.3% non-recurring ($814M); this 82% recurring+reoccurring ratio reflects mission-critical status.</w:t>
      </w:r>
      <w:r>
        <w:t xml:space="preserve"> </w:t>
      </w:r>
      <w:r>
        <w:t xml:space="preserve">-</w:t>
      </w:r>
      <w:r>
        <w:t xml:space="preserve"> </w:t>
      </w:r>
      <w:r>
        <w:rPr>
          <w:b/>
        </w:rPr>
        <w:t xml:space="preserve">Contract Multiyear % (est.):</w:t>
      </w:r>
      <w:r>
        <w:t xml:space="preserve"> </w:t>
      </w:r>
      <w:r>
        <w:t xml:space="preserve">60–70% of Application Software revenue is multi-year SaaS; 15–20% is annual maintenance; only 10–15% is one-time; suggesting 3–5 year customer lifetime at minimum.</w:t>
      </w:r>
    </w:p>
    <w:p>
      <w:pPr>
        <w:pStyle w:val="BodyText"/>
      </w:pPr>
      <w:r>
        <w:rPr>
          <w:b/>
        </w:rPr>
        <w:t xml:space="preserve">Embeddedness Moat Assessment:</w:t>
      </w:r>
      <w:r>
        <w:t xml:space="preserve"> </w:t>
      </w:r>
      <w:r>
        <w:t xml:space="preserve">- ✓</w:t>
      </w:r>
      <w:r>
        <w:t xml:space="preserve"> </w:t>
      </w:r>
      <w:r>
        <w:rPr>
          <w:b/>
        </w:rPr>
        <w:t xml:space="preserve">Strong across all segments:</w:t>
      </w:r>
      <w:r>
        <w:t xml:space="preserve"> </w:t>
      </w:r>
      <w:r>
        <w:t xml:space="preserve">67% consolidated recurring revenue reflects high embeddedness.</w:t>
      </w:r>
      <w:r>
        <w:t xml:space="preserve"> </w:t>
      </w:r>
      <w:r>
        <w:t xml:space="preserve">- ✓</w:t>
      </w:r>
      <w:r>
        <w:t xml:space="preserve"> </w:t>
      </w:r>
      <w:r>
        <w:rPr>
          <w:b/>
        </w:rPr>
        <w:t xml:space="preserve">Regulatory anchoring:</w:t>
      </w:r>
      <w:r>
        <w:t xml:space="preserve"> </w:t>
      </w:r>
      <w:r>
        <w:t xml:space="preserve">Compliance requirements (HIPAA, FERPA, DCAA, state licensing) make switching costly and risky.</w:t>
      </w:r>
      <w:r>
        <w:t xml:space="preserve"> </w:t>
      </w:r>
      <w:r>
        <w:t xml:space="preserve">- ⚠️</w:t>
      </w:r>
      <w:r>
        <w:t xml:space="preserve"> </w:t>
      </w:r>
      <w:r>
        <w:rPr>
          <w:b/>
        </w:rPr>
        <w:t xml:space="preserve">Cloud transition risk:</w:t>
      </w:r>
      <w:r>
        <w:t xml:space="preserve"> </w:t>
      </w:r>
      <w:r>
        <w:t xml:space="preserve">Modern SaaS competitors (Salesforce, Workday, Microsoft 365) are capturing new logos in adjacent spaces; greenfield customers less likely to adopt legacy on-prem systems.</w:t>
      </w:r>
    </w:p>
    <w:p>
      <w:pPr>
        <w:pStyle w:val="BodyText"/>
      </w:pPr>
      <w:r>
        <w:t xml:space="preserve">[Sources: 10-K revenue recognition disclosures, segment recurrence metrics, Q4 2025 call commentary on Deltek cloud migration.]</w:t>
      </w:r>
    </w:p>
    <w:p>
      <w:r>
        <w:pict>
          <v:rect style="width:0;height:1.5pt" o:hralign="center" o:hrstd="t" o:hr="t"/>
        </w:pict>
      </w:r>
    </w:p>
    <w:p>
      <w:pPr>
        <w:pStyle w:val="Heading3"/>
      </w:pPr>
      <w:bookmarkStart w:id="66" w:name="X7dae722c482e3e87e3a7596e951452d19436f63"/>
      <w:r>
        <w:t xml:space="preserve">3B. Competitive Threats and Moat Erosion Risks</w:t>
      </w:r>
      <w:bookmarkEnd w:id="66"/>
    </w:p>
    <w:p>
      <w:pPr>
        <w:pStyle w:val="Heading4"/>
      </w:pPr>
      <w:bookmarkStart w:id="67" w:name="Xbb22311df0cf4d81141990800b02bf48c5871de"/>
      <w:r>
        <w:rPr>
          <w:b/>
        </w:rPr>
        <w:t xml:space="preserve">Threat 1: Large Enterprise Software Vendors (Salesforce, Oracle, Microsoft, SAP)</w:t>
      </w:r>
      <w:bookmarkEnd w:id="67"/>
    </w:p>
    <w:p>
      <w:pPr>
        <w:pStyle w:val="FirstParagraph"/>
      </w:pPr>
      <w:r>
        <w:rPr>
          <w:b/>
        </w:rPr>
        <w:t xml:space="preserve">Risk Assessment:</w:t>
      </w:r>
      <w:r>
        <w:t xml:space="preserve"> </w:t>
      </w:r>
      <w:r>
        <w:t xml:space="preserve">Moderate (6/10 severity).</w:t>
      </w:r>
    </w:p>
    <w:p>
      <w:pPr>
        <w:pStyle w:val="BodyText"/>
      </w:pPr>
      <w:r>
        <w:rPr>
          <w:b/>
        </w:rPr>
        <w:t xml:space="preserve">Mechanism:</w:t>
      </w:r>
      <w:r>
        <w:t xml:space="preserve"> </w:t>
      </w:r>
      <w:r>
        <w:t xml:space="preserve">Salesforce (CRM + industry clouds), Microsoft (Dynamics 365), Oracle (HCM, ERP), and SAP (ERP) are expanding into mid-market verticals with bundled, feature-rich platforms. Examples:</w:t>
      </w:r>
      <w:r>
        <w:t xml:space="preserve"> </w:t>
      </w:r>
      <w:r>
        <w:t xml:space="preserve">-</w:t>
      </w:r>
      <w:r>
        <w:t xml:space="preserve"> </w:t>
      </w:r>
      <w:r>
        <w:rPr>
          <w:b/>
        </w:rPr>
        <w:t xml:space="preserve">Salesforce</w:t>
      </w:r>
      <w:r>
        <w:t xml:space="preserve"> </w:t>
      </w:r>
      <w:r>
        <w:t xml:space="preserve">is bundling compliance/legal tools into Financial Services Cloud; potential threat to Aderant.</w:t>
      </w:r>
      <w:r>
        <w:t xml:space="preserve"> </w:t>
      </w:r>
      <w:r>
        <w:t xml:space="preserve">-</w:t>
      </w:r>
      <w:r>
        <w:t xml:space="preserve"> </w:t>
      </w:r>
      <w:r>
        <w:rPr>
          <w:b/>
        </w:rPr>
        <w:t xml:space="preserve">Microsoft 365</w:t>
      </w:r>
      <w:r>
        <w:t xml:space="preserve"> </w:t>
      </w:r>
      <w:r>
        <w:t xml:space="preserve">is bundling Teams (collaboration), education tools (for K–12); potential threat to Frontline.</w:t>
      </w:r>
      <w:r>
        <w:t xml:space="preserve"> </w:t>
      </w:r>
      <w:r>
        <w:t xml:space="preserve">-</w:t>
      </w:r>
      <w:r>
        <w:t xml:space="preserve"> </w:t>
      </w:r>
      <w:r>
        <w:rPr>
          <w:b/>
        </w:rPr>
        <w:t xml:space="preserve">Oracle</w:t>
      </w:r>
      <w:r>
        <w:t xml:space="preserve"> </w:t>
      </w:r>
      <w:r>
        <w:t xml:space="preserve">is expanding in GovCon ERP with cloud migration; potential threat to Deltek.</w:t>
      </w:r>
    </w:p>
    <w:p>
      <w:pPr>
        <w:pStyle w:val="BodyText"/>
      </w:pPr>
      <w:r>
        <w:rPr>
          <w:b/>
        </w:rPr>
        <w:t xml:space="preserve">Why ROP Likely Survives Threat:</w:t>
      </w:r>
      <w:r>
        <w:t xml:space="preserve"> </w:t>
      </w:r>
      <w:r>
        <w:t xml:space="preserve">1. ROP platforms are</w:t>
      </w:r>
      <w:r>
        <w:t xml:space="preserve"> </w:t>
      </w:r>
      <w:r>
        <w:rPr>
          <w:b/>
        </w:rPr>
        <w:t xml:space="preserve">vertical-specific</w:t>
      </w:r>
      <w:r>
        <w:t xml:space="preserve"> </w:t>
      </w:r>
      <w:r>
        <w:t xml:space="preserve">(e.g., ABA therapy, childcare) vs. </w:t>
      </w:r>
      <w:r>
        <w:rPr>
          <w:b/>
        </w:rPr>
        <w:t xml:space="preserve">horizontal</w:t>
      </w:r>
      <w:r>
        <w:t xml:space="preserve"> </w:t>
      </w:r>
      <w:r>
        <w:t xml:space="preserve">(Salesforce, Oracle). Vertical specificity drives switching costs.</w:t>
      </w:r>
      <w:r>
        <w:t xml:space="preserve"> </w:t>
      </w:r>
      <w:r>
        <w:t xml:space="preserve">2.</w:t>
      </w:r>
      <w:r>
        <w:t xml:space="preserve"> </w:t>
      </w:r>
      <w:r>
        <w:rPr>
          <w:b/>
        </w:rPr>
        <w:t xml:space="preserve">Compliance depth:</w:t>
      </w:r>
      <w:r>
        <w:t xml:space="preserve"> </w:t>
      </w:r>
      <w:r>
        <w:t xml:space="preserve">ROP platforms are built around regulatory frameworks (DCAA, HIPAA, FERPA, state licensing); large ERP vendors are slower to build specialized compliance.</w:t>
      </w:r>
      <w:r>
        <w:t xml:space="preserve"> </w:t>
      </w:r>
      <w:r>
        <w:t xml:space="preserve">3.</w:t>
      </w:r>
      <w:r>
        <w:t xml:space="preserve"> </w:t>
      </w:r>
      <w:r>
        <w:rPr>
          <w:b/>
        </w:rPr>
        <w:t xml:space="preserve">Niche focus:</w:t>
      </w:r>
      <w:r>
        <w:t xml:space="preserve"> </w:t>
      </w:r>
      <w:r>
        <w:t xml:space="preserve">Large vendors optimize for revenue per customer (enterprise ACV) and tend to deprioritize low-ACV segments (e.g., $5k–50k childcare centers); ROP profitably serves these segments.</w:t>
      </w:r>
    </w:p>
    <w:p>
      <w:pPr>
        <w:pStyle w:val="BodyText"/>
      </w:pPr>
      <w:r>
        <w:rPr>
          <w:b/>
        </w:rPr>
        <w:t xml:space="preserve">Mitigating Actions by ROP:</w:t>
      </w:r>
      <w:r>
        <w:t xml:space="preserve"> </w:t>
      </w:r>
      <w:r>
        <w:t xml:space="preserve">- Cloud migration of legacy systems (Deltek, Frontline) to reduce on-prem advantage of large vendors.</w:t>
      </w:r>
      <w:r>
        <w:t xml:space="preserve"> </w:t>
      </w:r>
      <w:r>
        <w:t xml:space="preserve">- Platform bundling (e.g., CBORD + Transact + Illumia as integrated campus suite) increases switching cost vs. best-of-breed platforms.</w:t>
      </w:r>
    </w:p>
    <w:p>
      <w:pPr>
        <w:pStyle w:val="BodyText"/>
      </w:pPr>
      <w:r>
        <w:t xml:space="preserve">[Sources: Q4 2025 Earnings Call (Deltek cloud migration), industry competitive analysis.]</w:t>
      </w:r>
    </w:p>
    <w:p>
      <w:r>
        <w:pict>
          <v:rect style="width:0;height:1.5pt" o:hralign="center" o:hrstd="t" o:hr="t"/>
        </w:pict>
      </w:r>
    </w:p>
    <w:p>
      <w:pPr>
        <w:pStyle w:val="Heading4"/>
      </w:pPr>
      <w:bookmarkStart w:id="68" w:name="Xee491593171885df05fa7f5225ffd0fa9ba6c60"/>
      <w:r>
        <w:rPr>
          <w:b/>
        </w:rPr>
        <w:t xml:space="preserve">Threat 2: Niche Competitors with Lower Cost Structures</w:t>
      </w:r>
      <w:bookmarkEnd w:id="68"/>
    </w:p>
    <w:p>
      <w:pPr>
        <w:pStyle w:val="FirstParagraph"/>
      </w:pPr>
      <w:r>
        <w:rPr>
          <w:b/>
        </w:rPr>
        <w:t xml:space="preserve">Risk Assessment:</w:t>
      </w:r>
      <w:r>
        <w:t xml:space="preserve"> </w:t>
      </w:r>
      <w:r>
        <w:t xml:space="preserve">Low-to-Moderate (4/10 severity).</w:t>
      </w:r>
    </w:p>
    <w:p>
      <w:pPr>
        <w:pStyle w:val="BodyText"/>
      </w:pPr>
      <w:r>
        <w:rPr>
          <w:b/>
        </w:rPr>
        <w:t xml:space="preserve">Mechanism:</w:t>
      </w:r>
      <w:r>
        <w:t xml:space="preserve"> </w:t>
      </w:r>
      <w:r>
        <w:t xml:space="preserve">Venture-backed or private equity-backed startups in ROP’s verticals (e.g., Betterfly for ABA therapy, Procare competitors in childcare, etc.) are emerging with lower cost of capital and willingness to underprice ROP platforms to gain share.</w:t>
      </w:r>
    </w:p>
    <w:p>
      <w:pPr>
        <w:pStyle w:val="BodyText"/>
      </w:pPr>
      <w:r>
        <w:rPr>
          <w:b/>
        </w:rPr>
        <w:t xml:space="preserve">Examples:</w:t>
      </w:r>
      <w:r>
        <w:t xml:space="preserve"> </w:t>
      </w:r>
      <w:r>
        <w:t xml:space="preserve">-</w:t>
      </w:r>
      <w:r>
        <w:t xml:space="preserve"> </w:t>
      </w:r>
      <w:r>
        <w:rPr>
          <w:b/>
        </w:rPr>
        <w:t xml:space="preserve">ABA Therapy:</w:t>
      </w:r>
      <w:r>
        <w:t xml:space="preserve"> </w:t>
      </w:r>
      <w:r>
        <w:t xml:space="preserve">Competitors include Beacon (venture-backed), Compliant Autism (emerging), etc.</w:t>
      </w:r>
      <w:r>
        <w:t xml:space="preserve"> </w:t>
      </w:r>
      <w:r>
        <w:t xml:space="preserve">-</w:t>
      </w:r>
      <w:r>
        <w:t xml:space="preserve"> </w:t>
      </w:r>
      <w:r>
        <w:rPr>
          <w:b/>
        </w:rPr>
        <w:t xml:space="preserve">Childcare:</w:t>
      </w:r>
      <w:r>
        <w:t xml:space="preserve"> </w:t>
      </w:r>
      <w:r>
        <w:t xml:space="preserve">Competitors include Himama (Canadian, expanding US), Track1 (emerging).</w:t>
      </w:r>
    </w:p>
    <w:p>
      <w:pPr>
        <w:pStyle w:val="BodyText"/>
      </w:pPr>
      <w:r>
        <w:rPr>
          <w:b/>
        </w:rPr>
        <w:t xml:space="preserve">Why ROP Likely Survives Threat:</w:t>
      </w:r>
      <w:r>
        <w:t xml:space="preserve"> </w:t>
      </w:r>
      <w:r>
        <w:t xml:space="preserve">1.</w:t>
      </w:r>
      <w:r>
        <w:t xml:space="preserve"> </w:t>
      </w:r>
      <w:r>
        <w:rPr>
          <w:b/>
        </w:rPr>
        <w:t xml:space="preserve">Switching costs remain high:</w:t>
      </w:r>
      <w:r>
        <w:t xml:space="preserve"> </w:t>
      </w:r>
      <w:r>
        <w:t xml:space="preserve">Even if new competitor offers 20–30% lower pricing, customer acquisition cost (CAC) and implementation cost (12–18 months) make switching economics unfavorable unless customer is greenfield.</w:t>
      </w:r>
      <w:r>
        <w:t xml:space="preserve"> </w:t>
      </w:r>
      <w:r>
        <w:t xml:space="preserve">2.</w:t>
      </w:r>
      <w:r>
        <w:t xml:space="preserve"> </w:t>
      </w:r>
      <w:r>
        <w:rPr>
          <w:b/>
        </w:rPr>
        <w:t xml:space="preserve">Scale advantages:</w:t>
      </w:r>
      <w:r>
        <w:t xml:space="preserve"> </w:t>
      </w:r>
      <w:r>
        <w:t xml:space="preserve">ROP’s 19,400 employees and $3B+ EBITDA enable R&amp;D spending that startup competitors cannot match; feature parity + reliability differentiates.</w:t>
      </w:r>
      <w:r>
        <w:t xml:space="preserve"> </w:t>
      </w:r>
      <w:r>
        <w:t xml:space="preserve">3.</w:t>
      </w:r>
      <w:r>
        <w:t xml:space="preserve"> </w:t>
      </w:r>
      <w:r>
        <w:rPr>
          <w:b/>
        </w:rPr>
        <w:t xml:space="preserve">Consolidation playbook:</w:t>
      </w:r>
      <w:r>
        <w:t xml:space="preserve"> </w:t>
      </w:r>
      <w:r>
        <w:t xml:space="preserve">ROP’s M&amp;A velocity has acquired several #2/#3 players (Procare was #1 preacquisition; CentralReach was #1–2 preacquisition), consolidating markets and raising switching costs.</w:t>
      </w:r>
    </w:p>
    <w:p>
      <w:pPr>
        <w:pStyle w:val="BodyText"/>
      </w:pPr>
      <w:r>
        <w:rPr>
          <w:b/>
        </w:rPr>
        <w:t xml:space="preserve">Monitoring Points:</w:t>
      </w:r>
      <w:r>
        <w:t xml:space="preserve"> </w:t>
      </w:r>
      <w:r>
        <w:t xml:space="preserve">- Watch for venture funding rounds in ROP verticals (Crunchbase, PitchBook) as leading indicator of competitive threat.</w:t>
      </w:r>
      <w:r>
        <w:t xml:space="preserve"> </w:t>
      </w:r>
      <w:r>
        <w:t xml:space="preserve">- Monitor NPS scores (Net Promoter Score) and churn rates (non-disclosed, but indicated by RPO/backlog growth trends).</w:t>
      </w:r>
    </w:p>
    <w:p>
      <w:pPr>
        <w:pStyle w:val="BodyText"/>
      </w:pPr>
      <w:r>
        <w:t xml:space="preserve">[Sources: Q4 2025 Earnings Call, management commentary on Procare/CentralReach market positions.]</w:t>
      </w:r>
    </w:p>
    <w:p>
      <w:r>
        <w:pict>
          <v:rect style="width:0;height:1.5pt" o:hralign="center" o:hrstd="t" o:hr="t"/>
        </w:pict>
      </w:r>
    </w:p>
    <w:p>
      <w:pPr>
        <w:pStyle w:val="Heading4"/>
      </w:pPr>
      <w:bookmarkStart w:id="69" w:name="X0af1715f6f60644014d5e4d09d113be14ea0096"/>
      <w:r>
        <w:rPr>
          <w:b/>
        </w:rPr>
        <w:t xml:space="preserve">Threat 3: Horizontal SaaS Consolidation (all-in-one platforms)</w:t>
      </w:r>
      <w:bookmarkEnd w:id="69"/>
    </w:p>
    <w:p>
      <w:pPr>
        <w:pStyle w:val="FirstParagraph"/>
      </w:pPr>
      <w:r>
        <w:rPr>
          <w:b/>
        </w:rPr>
        <w:t xml:space="preserve">Risk Assessment:</w:t>
      </w:r>
      <w:r>
        <w:t xml:space="preserve"> </w:t>
      </w:r>
      <w:r>
        <w:t xml:space="preserve">Low (3/10 severity).</w:t>
      </w:r>
    </w:p>
    <w:p>
      <w:pPr>
        <w:pStyle w:val="BodyText"/>
      </w:pPr>
      <w:r>
        <w:rPr>
          <w:b/>
        </w:rPr>
        <w:t xml:space="preserve">Mechanism:</w:t>
      </w:r>
      <w:r>
        <w:t xml:space="preserve"> </w:t>
      </w:r>
      <w:r>
        <w:t xml:space="preserve">Some customers, especially mid-market, prefer all-in-one platforms (e.g., HubSpot, Workday, Zoho) over best-of-breed point solutions. Consolidation pressure could reduce TAM for ROP’s vertical platforms.</w:t>
      </w:r>
    </w:p>
    <w:p>
      <w:pPr>
        <w:pStyle w:val="BodyText"/>
      </w:pPr>
      <w:r>
        <w:rPr>
          <w:b/>
        </w:rPr>
        <w:t xml:space="preserve">Why ROP Likely Survives Threat:</w:t>
      </w:r>
      <w:r>
        <w:t xml:space="preserve"> </w:t>
      </w:r>
      <w:r>
        <w:t xml:space="preserve">1.</w:t>
      </w:r>
      <w:r>
        <w:t xml:space="preserve"> </w:t>
      </w:r>
      <w:r>
        <w:rPr>
          <w:b/>
        </w:rPr>
        <w:t xml:space="preserve">Vertical depth &gt;&gt; horizontal breadth:</w:t>
      </w:r>
      <w:r>
        <w:t xml:space="preserve"> </w:t>
      </w:r>
      <w:r>
        <w:t xml:space="preserve">All-in-one platforms are generalist; ROP platforms are vertical specialist. Switching cost is high enough to retain most existing customers.</w:t>
      </w:r>
      <w:r>
        <w:t xml:space="preserve"> </w:t>
      </w:r>
      <w:r>
        <w:t xml:space="preserve">2.</w:t>
      </w:r>
      <w:r>
        <w:t xml:space="preserve"> </w:t>
      </w:r>
      <w:r>
        <w:rPr>
          <w:b/>
        </w:rPr>
        <w:t xml:space="preserve">Integration strategy:</w:t>
      </w:r>
      <w:r>
        <w:t xml:space="preserve"> </w:t>
      </w:r>
      <w:r>
        <w:t xml:space="preserve">ROP itself is consolidating (CBORD + Transact + Illumia) but within verticals, not across. This vertical bundling is efficient (shared infrastructure, common compliance frameworks).</w:t>
      </w:r>
      <w:r>
        <w:t xml:space="preserve"> </w:t>
      </w:r>
      <w:r>
        <w:t xml:space="preserve">3.</w:t>
      </w:r>
      <w:r>
        <w:t xml:space="preserve"> </w:t>
      </w:r>
      <w:r>
        <w:rPr>
          <w:b/>
        </w:rPr>
        <w:t xml:space="preserve">Data privacy constraints:</w:t>
      </w:r>
      <w:r>
        <w:t xml:space="preserve"> </w:t>
      </w:r>
      <w:r>
        <w:t xml:space="preserve">Vertical regulations (HIPAA, FERPA, DCAA) make customers wary of consolidated platforms that lack vertical-specific compliance; ROP’s focus on compliance is advantage.</w:t>
      </w:r>
    </w:p>
    <w:p>
      <w:pPr>
        <w:pStyle w:val="BodyText"/>
      </w:pPr>
      <w:r>
        <w:t xml:space="preserve">[Sources: Industry competitive analysis, management commentary.]</w:t>
      </w:r>
    </w:p>
    <w:p>
      <w:r>
        <w:pict>
          <v:rect style="width:0;height:1.5pt" o:hralign="center" o:hrstd="t" o:hr="t"/>
        </w:pict>
      </w:r>
    </w:p>
    <w:p>
      <w:pPr>
        <w:pStyle w:val="Heading3"/>
      </w:pPr>
      <w:bookmarkStart w:id="70" w:name="c.-moat-summary-and-rating"/>
      <w:r>
        <w:t xml:space="preserve">3C. Moat Summary and Rating</w:t>
      </w:r>
      <w:bookmarkEnd w:id="70"/>
    </w:p>
    <w:tbl>
      <w:tblPr>
        <w:tblStyle w:val="Table"/>
        <w:tblW w:type="pct" w:w="5000.0"/>
        <w:tblLook w:firstRow="1"/>
      </w:tblPr>
      <w:tblGrid>
        <w:gridCol w:w="1105"/>
        <w:gridCol w:w="1841"/>
        <w:gridCol w:w="2026"/>
        <w:gridCol w:w="1841"/>
        <w:gridCol w:w="1105"/>
      </w:tblGrid>
      <w:tr>
        <w:trPr>
          <w:cnfStyle w:firstRow="1"/>
        </w:trPr>
        <w:tc>
          <w:tcPr>
            <w:tcBorders>
              <w:bottom w:val="single"/>
            </w:tcBorders>
            <w:vAlign w:val="bottom"/>
          </w:tcPr>
          <w:p>
            <w:pPr>
              <w:pStyle w:val="Compact"/>
              <w:jc w:val="left"/>
            </w:pPr>
            <w:r>
              <w:t xml:space="preserve">Moat</w:t>
            </w:r>
          </w:p>
        </w:tc>
        <w:tc>
          <w:tcPr>
            <w:tcBorders>
              <w:bottom w:val="single"/>
            </w:tcBorders>
            <w:vAlign w:val="bottom"/>
          </w:tcPr>
          <w:p>
            <w:pPr>
              <w:pStyle w:val="Compact"/>
              <w:jc w:val="left"/>
            </w:pPr>
            <w:r>
              <w:t xml:space="preserve">Strength</w:t>
            </w:r>
          </w:p>
        </w:tc>
        <w:tc>
          <w:tcPr>
            <w:tcBorders>
              <w:bottom w:val="single"/>
            </w:tcBorders>
            <w:vAlign w:val="bottom"/>
          </w:tcPr>
          <w:p>
            <w:pPr>
              <w:pStyle w:val="Compact"/>
              <w:jc w:val="left"/>
            </w:pPr>
            <w:r>
              <w:t xml:space="preserve">Durability</w:t>
            </w:r>
          </w:p>
        </w:tc>
        <w:tc>
          <w:tcPr>
            <w:tcBorders>
              <w:bottom w:val="single"/>
            </w:tcBorders>
            <w:vAlign w:val="bottom"/>
          </w:tcPr>
          <w:p>
            <w:pPr>
              <w:pStyle w:val="Compact"/>
              <w:jc w:val="left"/>
            </w:pPr>
            <w:r>
              <w:t xml:space="preserve">Evidence</w:t>
            </w:r>
          </w:p>
        </w:tc>
        <w:tc>
          <w:tcPr>
            <w:tcBorders>
              <w:bottom w:val="single"/>
            </w:tcBorders>
            <w:vAlign w:val="bottom"/>
          </w:tcPr>
          <w:p>
            <w:pPr>
              <w:pStyle w:val="Compact"/>
              <w:jc w:val="left"/>
            </w:pPr>
            <w:r>
              <w:t xml:space="preserve">Risk</w:t>
            </w:r>
          </w:p>
        </w:tc>
      </w:tr>
      <w:tr>
        <w:tc>
          <w:p>
            <w:pPr>
              <w:pStyle w:val="Compact"/>
              <w:jc w:val="left"/>
            </w:pPr>
            <w:r>
              <w:rPr>
                <w:b/>
              </w:rPr>
              <w:t xml:space="preserve">Vertical Niche + Switching Costs</w:t>
            </w:r>
          </w:p>
        </w:tc>
        <w:tc>
          <w:p>
            <w:pPr>
              <w:pStyle w:val="Compact"/>
              <w:jc w:val="left"/>
            </w:pPr>
            <w:r>
              <w:t xml:space="preserve">8/10</w:t>
            </w:r>
          </w:p>
        </w:tc>
        <w:tc>
          <w:p>
            <w:pPr>
              <w:pStyle w:val="Compact"/>
              <w:jc w:val="left"/>
            </w:pPr>
            <w:r>
              <w:t xml:space="preserve">8/10</w:t>
            </w:r>
          </w:p>
        </w:tc>
        <w:tc>
          <w:p>
            <w:pPr>
              <w:pStyle w:val="Compact"/>
              <w:jc w:val="left"/>
            </w:pPr>
            <w:r>
              <w:t xml:space="preserve">67% recurring revenue, +9.5% RPO growth, 42–54% EBITDA margins</w:t>
            </w:r>
          </w:p>
        </w:tc>
        <w:tc>
          <w:p>
            <w:pPr>
              <w:pStyle w:val="Compact"/>
              <w:jc w:val="left"/>
            </w:pPr>
            <w:r>
              <w:t xml:space="preserve">Cloud migration transition; large vendor encroachment</w:t>
            </w:r>
          </w:p>
        </w:tc>
      </w:tr>
      <w:tr>
        <w:tc>
          <w:p>
            <w:pPr>
              <w:pStyle w:val="Compact"/>
              <w:jc w:val="left"/>
            </w:pPr>
            <w:r>
              <w:rPr>
                <w:b/>
              </w:rPr>
              <w:t xml:space="preserve">Network Effects (DAT, ConstructConnect)</w:t>
            </w:r>
          </w:p>
        </w:tc>
        <w:tc>
          <w:p>
            <w:pPr>
              <w:pStyle w:val="Compact"/>
              <w:jc w:val="left"/>
            </w:pPr>
            <w:r>
              <w:t xml:space="preserve">7/10</w:t>
            </w:r>
          </w:p>
        </w:tc>
        <w:tc>
          <w:p>
            <w:pPr>
              <w:pStyle w:val="Compact"/>
              <w:jc w:val="left"/>
            </w:pPr>
            <w:r>
              <w:t xml:space="preserve">8/10</w:t>
            </w:r>
          </w:p>
        </w:tc>
        <w:tc>
          <w:p>
            <w:pPr>
              <w:pStyle w:val="Compact"/>
              <w:jc w:val="left"/>
            </w:pPr>
            <w:r>
              <w:t xml:space="preserve">DAT 20-year network, ARPU expansion; ConstructConnect bid data moat</w:t>
            </w:r>
          </w:p>
        </w:tc>
        <w:tc>
          <w:p>
            <w:pPr>
              <w:pStyle w:val="Compact"/>
              <w:jc w:val="left"/>
            </w:pPr>
            <w:r>
              <w:t xml:space="preserve">Emerging competitors (Convoy, PlanHub); limited headroom for pricing</w:t>
            </w:r>
          </w:p>
        </w:tc>
      </w:tr>
      <w:tr>
        <w:tc>
          <w:p>
            <w:pPr>
              <w:pStyle w:val="Compact"/>
              <w:jc w:val="left"/>
            </w:pPr>
            <w:r>
              <w:rPr>
                <w:b/>
              </w:rPr>
              <w:t xml:space="preserve">Workflow Embeddedness</w:t>
            </w:r>
          </w:p>
        </w:tc>
        <w:tc>
          <w:p>
            <w:pPr>
              <w:pStyle w:val="Compact"/>
              <w:jc w:val="left"/>
            </w:pPr>
            <w:r>
              <w:t xml:space="preserve">8/10</w:t>
            </w:r>
          </w:p>
        </w:tc>
        <w:tc>
          <w:p>
            <w:pPr>
              <w:pStyle w:val="Compact"/>
              <w:jc w:val="left"/>
            </w:pPr>
            <w:r>
              <w:t xml:space="preserve">7/10</w:t>
            </w:r>
          </w:p>
        </w:tc>
        <w:tc>
          <w:p>
            <w:pPr>
              <w:pStyle w:val="Compact"/>
              <w:jc w:val="left"/>
            </w:pPr>
            <w:r>
              <w:t xml:space="preserve">Mission-critical status (K–12 grading, healthcare billing, GovCon costing), regulatory anchoring</w:t>
            </w:r>
          </w:p>
        </w:tc>
        <w:tc>
          <w:p>
            <w:pPr>
              <w:pStyle w:val="Compact"/>
              <w:jc w:val="left"/>
            </w:pPr>
            <w:r>
              <w:t xml:space="preserve">Cloud transition friction; newer SaaS alternatives for greenfield customers</w:t>
            </w:r>
          </w:p>
        </w:tc>
      </w:tr>
      <w:tr>
        <w:tc>
          <w:p>
            <w:pPr>
              <w:pStyle w:val="Compact"/>
              <w:jc w:val="left"/>
            </w:pPr>
            <w:r>
              <w:rPr>
                <w:b/>
              </w:rPr>
              <w:t xml:space="preserve">Scale + R&amp;D (19.4k employees)</w:t>
            </w:r>
          </w:p>
        </w:tc>
        <w:tc>
          <w:p>
            <w:pPr>
              <w:pStyle w:val="Compact"/>
              <w:jc w:val="left"/>
            </w:pPr>
            <w:r>
              <w:t xml:space="preserve">7/10</w:t>
            </w:r>
          </w:p>
        </w:tc>
        <w:tc>
          <w:p>
            <w:pPr>
              <w:pStyle w:val="Compact"/>
              <w:jc w:val="left"/>
            </w:pPr>
            <w:r>
              <w:t xml:space="preserve">7/10</w:t>
            </w:r>
          </w:p>
        </w:tc>
        <w:tc>
          <w:p>
            <w:pPr>
              <w:pStyle w:val="Compact"/>
              <w:jc w:val="left"/>
            </w:pPr>
            <w:r>
              <w:t xml:space="preserve">Operating leverage, consistent EBITDA margins, CentralReach</w:t>
            </w:r>
            <w:r>
              <w:t xml:space="preserve"> </w:t>
            </w:r>
            <w:r>
              <w:t xml:space="preserve">“</w:t>
            </w:r>
            <w:r>
              <w:t xml:space="preserve">ahead of deal model</w:t>
            </w:r>
            <w:r>
              <w:t xml:space="preserve">”</w:t>
            </w:r>
          </w:p>
        </w:tc>
        <w:tc>
          <w:p>
            <w:pPr>
              <w:pStyle w:val="Compact"/>
              <w:jc w:val="left"/>
            </w:pPr>
            <w:r>
              <w:t xml:space="preserve">Venture-backed competitors with lower cost structures</w:t>
            </w:r>
          </w:p>
        </w:tc>
      </w:tr>
    </w:tbl>
    <w:p>
      <w:pPr>
        <w:pStyle w:val="BodyText"/>
      </w:pPr>
      <w:r>
        <w:rPr>
          <w:b/>
        </w:rPr>
        <w:t xml:space="preserve">Consolidated Moat Rating: 7.5/10</w:t>
      </w:r>
      <w:r>
        <w:t xml:space="preserve"> </w:t>
      </w:r>
      <w:r>
        <w:t xml:space="preserve">— ROP’s moat is defensible across 67% of recurring revenue base, backed by vertical specialization and regulatory moats. Erosion risk is moderate in cloud transition period (2024–2027) but diminishes as legacy migrations complete.</w:t>
      </w:r>
    </w:p>
    <w:p>
      <w:pPr>
        <w:pStyle w:val="BodyText"/>
      </w:pPr>
      <w:r>
        <w:rPr>
          <w:b/>
        </w:rPr>
        <w:t xml:space="preserve">Investor Implication:</w:t>
      </w:r>
      <w:r>
        <w:t xml:space="preserve"> </w:t>
      </w:r>
      <w:r>
        <w:t xml:space="preserve">ROP’s competitive position is durable in core verticals (legal, healthcare, GovCon, K–12, childcare) given high switching costs and regulatory complexity; near-term risk is execution on cloud migrations (Deltek, Procare), which management characterizes as</w:t>
      </w:r>
      <w:r>
        <w:t xml:space="preserve"> </w:t>
      </w:r>
      <w:r>
        <w:t xml:space="preserve">“</w:t>
      </w:r>
      <w:r>
        <w:t xml:space="preserve">fixable</w:t>
      </w:r>
      <w:r>
        <w:t xml:space="preserve">”</w:t>
      </w:r>
      <w:r>
        <w:t xml:space="preserve">; longer-term risk is large vendor encroachment in mid-market segments, partially offset by ROP’s vertical depth and compliance specialization.</w:t>
      </w:r>
    </w:p>
    <w:p>
      <w:r>
        <w:pict>
          <v:rect style="width:0;height:1.5pt" o:hralign="center" o:hrstd="t" o:hr="t"/>
        </w:pict>
      </w:r>
    </w:p>
    <w:p>
      <w:pPr>
        <w:pStyle w:val="Heading2"/>
      </w:pPr>
      <w:bookmarkStart w:id="71" w:name="section-4-unit-economics"/>
      <w:r>
        <w:t xml:space="preserve">SECTION 4: UNIT ECONOMICS</w:t>
      </w:r>
      <w:bookmarkEnd w:id="71"/>
    </w:p>
    <w:p>
      <w:pPr>
        <w:pStyle w:val="Heading3"/>
      </w:pPr>
      <w:bookmarkStart w:id="72" w:name="Xc8c894f3351b7e4f3f3fce24b2ec3846052f26e"/>
      <w:r>
        <w:t xml:space="preserve">4A. Revenue Quality and Cohort Sustainability</w:t>
      </w:r>
      <w:bookmarkEnd w:id="72"/>
    </w:p>
    <w:p>
      <w:pPr>
        <w:pStyle w:val="Heading4"/>
      </w:pPr>
      <w:bookmarkStart w:id="73" w:name="X26b8df2072ac2f7327263fd0162af84dafcc77c"/>
      <w:r>
        <w:rPr>
          <w:b/>
        </w:rPr>
        <w:t xml:space="preserve">Recurring Revenue Analysis (Derived from Composition Data)</w:t>
      </w:r>
      <w:bookmarkEnd w:id="73"/>
    </w:p>
    <w:p>
      <w:pPr>
        <w:pStyle w:val="FirstParagraph"/>
      </w:pPr>
      <w:r>
        <w:rPr>
          <w:b/>
        </w:rPr>
        <w:t xml:space="preserve">FY2025 Recurring Revenue Breakdown:</w:t>
      </w:r>
    </w:p>
    <w:tbl>
      <w:tblPr>
        <w:tblStyle w:val="Table"/>
        <w:tblW w:type="pct" w:w="0.0"/>
        <w:tblLook w:firstRow="1"/>
      </w:tblPr>
      <w:tblGrid/>
      <w:tr>
        <w:trPr>
          <w:cnfStyle w:firstRow="1"/>
        </w:trPr>
        <w:tc>
          <w:tcPr>
            <w:tcBorders>
              <w:bottom w:val="single"/>
            </w:tcBorders>
            <w:vAlign w:val="bottom"/>
          </w:tcPr>
          <w:p>
            <w:pPr>
              <w:pStyle w:val="Compact"/>
              <w:jc w:val="left"/>
            </w:pPr>
            <w:r>
              <w:t xml:space="preserve">Component</w:t>
            </w:r>
          </w:p>
        </w:tc>
        <w:tc>
          <w:tcPr>
            <w:tcBorders>
              <w:bottom w:val="single"/>
            </w:tcBorders>
            <w:vAlign w:val="bottom"/>
          </w:tcPr>
          <w:p>
            <w:pPr>
              <w:pStyle w:val="Compact"/>
              <w:jc w:val="left"/>
            </w:pPr>
            <w:r>
              <w:t xml:space="preserve">Amount</w:t>
            </w:r>
          </w:p>
        </w:tc>
        <w:tc>
          <w:tcPr>
            <w:tcBorders>
              <w:bottom w:val="single"/>
            </w:tcBorders>
            <w:vAlign w:val="bottom"/>
          </w:tcPr>
          <w:p>
            <w:pPr>
              <w:pStyle w:val="Compact"/>
              <w:jc w:val="left"/>
            </w:pPr>
            <w:r>
              <w:t xml:space="preserve">% of Total</w:t>
            </w:r>
          </w:p>
        </w:tc>
        <w:tc>
          <w:tcPr>
            <w:tcBorders>
              <w:bottom w:val="single"/>
            </w:tcBorders>
            <w:vAlign w:val="bottom"/>
          </w:tcPr>
          <w:p>
            <w:pPr>
              <w:pStyle w:val="Compact"/>
              <w:jc w:val="left"/>
            </w:pPr>
            <w:r>
              <w:t xml:space="preserve">Source</w:t>
            </w:r>
          </w:p>
        </w:tc>
      </w:tr>
      <w:tr>
        <w:tc>
          <w:p>
            <w:pPr>
              <w:pStyle w:val="Compact"/>
              <w:jc w:val="left"/>
            </w:pPr>
            <w:r>
              <w:t xml:space="preserve">Recurring</w:t>
            </w:r>
          </w:p>
        </w:tc>
        <w:tc>
          <w:p>
            <w:pPr>
              <w:pStyle w:val="Compact"/>
              <w:jc w:val="left"/>
            </w:pPr>
            <w:r>
              <w:t xml:space="preserve">$4,483M</w:t>
            </w:r>
          </w:p>
        </w:tc>
        <w:tc>
          <w:p>
            <w:pPr>
              <w:pStyle w:val="Compact"/>
              <w:jc w:val="left"/>
            </w:pPr>
            <w:r>
              <w:t xml:space="preserve">56.7%</w:t>
            </w:r>
          </w:p>
        </w:tc>
        <w:tc>
          <w:p>
            <w:pPr>
              <w:pStyle w:val="Compact"/>
              <w:jc w:val="left"/>
            </w:pPr>
            <w:r>
              <w:t xml:space="preserve">[Earnings slides]</w:t>
            </w:r>
          </w:p>
        </w:tc>
      </w:tr>
      <w:tr>
        <w:tc>
          <w:p>
            <w:pPr>
              <w:pStyle w:val="Compact"/>
              <w:jc w:val="left"/>
            </w:pPr>
            <w:r>
              <w:t xml:space="preserve">Reoccurring</w:t>
            </w:r>
          </w:p>
        </w:tc>
        <w:tc>
          <w:p>
            <w:pPr>
              <w:pStyle w:val="Compact"/>
              <w:jc w:val="left"/>
            </w:pPr>
            <w:r>
              <w:t xml:space="preserve">$833M</w:t>
            </w:r>
          </w:p>
        </w:tc>
        <w:tc>
          <w:p>
            <w:pPr>
              <w:pStyle w:val="Compact"/>
              <w:jc w:val="left"/>
            </w:pPr>
            <w:r>
              <w:t xml:space="preserve">10.5%</w:t>
            </w:r>
          </w:p>
        </w:tc>
        <w:tc>
          <w:p>
            <w:pPr>
              <w:pStyle w:val="Compact"/>
              <w:jc w:val="left"/>
            </w:pPr>
            <w:r>
              <w:t xml:space="preserve">[Earnings slides]</w:t>
            </w:r>
          </w:p>
        </w:tc>
      </w:tr>
      <w:tr>
        <w:tc>
          <w:p>
            <w:pPr>
              <w:pStyle w:val="Compact"/>
              <w:jc w:val="left"/>
            </w:pPr>
            <w:r>
              <w:t xml:space="preserve">Non-Recurring</w:t>
            </w:r>
          </w:p>
        </w:tc>
        <w:tc>
          <w:p>
            <w:pPr>
              <w:pStyle w:val="Compact"/>
              <w:jc w:val="left"/>
            </w:pPr>
            <w:r>
              <w:t xml:space="preserve">$814M</w:t>
            </w:r>
          </w:p>
        </w:tc>
        <w:tc>
          <w:p>
            <w:pPr>
              <w:pStyle w:val="Compact"/>
              <w:jc w:val="left"/>
            </w:pPr>
            <w:r>
              <w:t xml:space="preserve">10.3%</w:t>
            </w:r>
          </w:p>
        </w:tc>
        <w:tc>
          <w:p>
            <w:pPr>
              <w:pStyle w:val="Compact"/>
              <w:jc w:val="left"/>
            </w:pPr>
            <w:r>
              <w:t xml:space="preserve">[Earnings slides]</w:t>
            </w:r>
          </w:p>
        </w:tc>
      </w:tr>
      <w:tr>
        <w:tc>
          <w:p>
            <w:pPr>
              <w:pStyle w:val="Compact"/>
              <w:jc w:val="left"/>
            </w:pPr>
            <w:r>
              <w:t xml:space="preserve">Product Revenue</w:t>
            </w:r>
          </w:p>
        </w:tc>
        <w:tc>
          <w:p>
            <w:pPr>
              <w:pStyle w:val="Compact"/>
              <w:jc w:val="left"/>
            </w:pPr>
            <w:r>
              <w:t xml:space="preserve">$1,773M</w:t>
            </w:r>
          </w:p>
        </w:tc>
        <w:tc>
          <w:p>
            <w:pPr>
              <w:pStyle w:val="Compact"/>
              <w:jc w:val="left"/>
            </w:pPr>
            <w:r>
              <w:t xml:space="preserve">22.5%</w:t>
            </w:r>
          </w:p>
        </w:tc>
        <w:tc>
          <w:p>
            <w:pPr>
              <w:pStyle w:val="Compact"/>
              <w:jc w:val="left"/>
            </w:pPr>
            <w:r>
              <w:t xml:space="preserve">[10-K / Earnings slides]</w:t>
            </w:r>
          </w:p>
        </w:tc>
      </w:tr>
      <w:tr>
        <w:tc>
          <w:p>
            <w:pPr>
              <w:pStyle w:val="Compact"/>
              <w:jc w:val="left"/>
            </w:pPr>
            <w:r>
              <w:rPr>
                <w:b/>
              </w:rPr>
              <w:t xml:space="preserve">Total Revenue</w:t>
            </w:r>
          </w:p>
        </w:tc>
        <w:tc>
          <w:p>
            <w:pPr>
              <w:pStyle w:val="Compact"/>
              <w:jc w:val="left"/>
            </w:pPr>
            <w:r>
              <w:rPr>
                <w:b/>
              </w:rPr>
              <w:t xml:space="preserve">$7,902.5M</w:t>
            </w:r>
          </w:p>
        </w:tc>
        <w:tc>
          <w:p>
            <w:pPr>
              <w:pStyle w:val="Compact"/>
              <w:jc w:val="left"/>
            </w:pPr>
            <w:r>
              <w:rPr>
                <w:b/>
              </w:rPr>
              <w:t xml:space="preserve">100.0%</w:t>
            </w:r>
          </w:p>
        </w:tc>
        <w:tc>
          <w:p>
            <w:pPr>
              <w:pStyle w:val="Compact"/>
              <w:jc w:val="left"/>
            </w:pPr>
            <w:r>
              <w:rPr>
                <w:b/>
              </w:rPr>
              <w:t xml:space="preserve">[10-K]</w:t>
            </w:r>
          </w:p>
        </w:tc>
      </w:tr>
    </w:tbl>
    <w:p>
      <w:pPr>
        <w:pStyle w:val="BodyText"/>
      </w:pPr>
      <w:r>
        <w:rPr>
          <w:b/>
        </w:rPr>
        <w:t xml:space="preserve">Recurring + Reoccurring (67.3%) Sustainability:</w:t>
      </w:r>
    </w:p>
    <w:p>
      <w:pPr>
        <w:pStyle w:val="BodyText"/>
      </w:pPr>
      <w:r>
        <w:t xml:space="preserve">Organic growth rates by cohort:</w:t>
      </w:r>
      <w:r>
        <w:t xml:space="preserve"> </w:t>
      </w:r>
      <w:r>
        <w:t xml:space="preserve">-</w:t>
      </w:r>
      <w:r>
        <w:t xml:space="preserve"> </w:t>
      </w:r>
      <w:r>
        <w:rPr>
          <w:b/>
        </w:rPr>
        <w:t xml:space="preserve">Recurring+Reoccurring:</w:t>
      </w:r>
      <w:r>
        <w:t xml:space="preserve"> </w:t>
      </w:r>
      <w:r>
        <w:t xml:space="preserve">+6% organic [Earnings slides]</w:t>
      </w:r>
      <w:r>
        <w:t xml:space="preserve"> </w:t>
      </w:r>
      <w:r>
        <w:t xml:space="preserve">-</w:t>
      </w:r>
      <w:r>
        <w:t xml:space="preserve"> </w:t>
      </w:r>
      <w:r>
        <w:rPr>
          <w:b/>
        </w:rPr>
        <w:t xml:space="preserve">Non-Recurring:</w:t>
      </w:r>
      <w:r>
        <w:t xml:space="preserve"> </w:t>
      </w:r>
      <w:r>
        <w:t xml:space="preserve">-1% organic [Earnings slides]</w:t>
      </w:r>
      <w:r>
        <w:t xml:space="preserve"> </w:t>
      </w:r>
      <w:r>
        <w:t xml:space="preserve">-</w:t>
      </w:r>
      <w:r>
        <w:t xml:space="preserve"> </w:t>
      </w:r>
      <w:r>
        <w:rPr>
          <w:b/>
        </w:rPr>
        <w:t xml:space="preserve">Blended:</w:t>
      </w:r>
      <w:r>
        <w:t xml:space="preserve"> </w:t>
      </w:r>
      <w:r>
        <w:t xml:space="preserve">+6–7% organic [Earnings slides]</w:t>
      </w:r>
    </w:p>
    <w:p>
      <w:pPr>
        <w:pStyle w:val="BodyText"/>
      </w:pPr>
      <w:r>
        <w:rPr>
          <w:b/>
        </w:rPr>
        <w:t xml:space="preserve">Interpretation:</w:t>
      </w:r>
      <w:r>
        <w:t xml:space="preserve"> </w:t>
      </w:r>
      <w:r>
        <w:t xml:space="preserve">Recurring/reoccurring cohort is growing faster (+6%) than non-recurring (−1%), indicating a favorable mix shift toward higher-quality revenue. Over a 3–5 year horizon, if non-recurring revenue stabilizes or declines (as suggested by −1% organic), consolidated organic growth may moderate to 5–6% range, consistent with current management guidance [Q4 2025 call].</w:t>
      </w:r>
    </w:p>
    <w:p>
      <w:pPr>
        <w:pStyle w:val="Heading4"/>
      </w:pPr>
      <w:bookmarkStart w:id="74" w:name="X40e2aba0529bb4da1982f231111271363bde67d"/>
      <w:r>
        <w:rPr>
          <w:b/>
        </w:rPr>
        <w:t xml:space="preserve">Cohort Retention Metrics (Derived from RPO Growth)</w:t>
      </w:r>
      <w:bookmarkEnd w:id="74"/>
    </w:p>
    <w:p>
      <w:pPr>
        <w:pStyle w:val="FirstParagraph"/>
      </w:pPr>
      <w:r>
        <w:rPr>
          <w:b/>
        </w:rPr>
        <w:t xml:space="preserve">RPO Growth as Proxy for Retention + Expansion:</w:t>
      </w:r>
    </w:p>
    <w:p>
      <w:pPr>
        <w:pStyle w:val="BodyText"/>
      </w:pPr>
      <m:oMathPara>
        <m:oMathParaPr>
          <m:jc m:val="center"/>
        </m:oMathParaPr>
        <m:oMath>
          <m:f>
            <m:fPr>
              <m:type m:val="bar"/>
            </m:fPr>
            <m:num>
              <m:r>
                <m:rPr>
                  <m:nor/>
                  <m:sty m:val="p"/>
                </m:rPr>
                <m:t>RPO Dec 2025</m:t>
              </m:r>
              <m:r>
                <m:t>−</m:t>
              </m:r>
              <m:r>
                <m:rPr>
                  <m:nor/>
                  <m:sty m:val="p"/>
                </m:rPr>
                <m:t>RPO Dec 2024</m:t>
              </m:r>
            </m:num>
            <m:den>
              <m:r>
                <m:rPr>
                  <m:nor/>
                  <m:sty m:val="p"/>
                </m:rPr>
                <m:t>RPO Dec 2024</m:t>
              </m:r>
            </m:den>
          </m:f>
          <m:r>
            <m:t>=</m:t>
          </m:r>
          <m:f>
            <m:fPr>
              <m:type m:val="bar"/>
            </m:fPr>
            <m:num>
              <m:r>
                <m:t>$</m:t>
              </m:r>
              <m:r>
                <m:t>5</m:t>
              </m:r>
              <m:r>
                <m:t>,</m:t>
              </m:r>
              <m:r>
                <m:t>204.2</m:t>
              </m:r>
              <m:r>
                <m:t>M</m:t>
              </m:r>
              <m:r>
                <m:t>−</m:t>
              </m:r>
              <m:r>
                <m:t>$</m:t>
              </m:r>
              <m:r>
                <m:t>4</m:t>
              </m:r>
              <m:r>
                <m:t>,</m:t>
              </m:r>
              <m:r>
                <m:t>754.9</m:t>
              </m:r>
              <m:r>
                <m:t>M</m:t>
              </m:r>
            </m:num>
            <m:den>
              <m:r>
                <m:t>$</m:t>
              </m:r>
              <m:r>
                <m:t>4</m:t>
              </m:r>
              <m:r>
                <m:t>,</m:t>
              </m:r>
              <m:r>
                <m:t>754.9</m:t>
              </m:r>
              <m:r>
                <m:t>M</m:t>
              </m:r>
            </m:den>
          </m:f>
          <m:r>
            <m:t>=</m:t>
          </m:r>
          <m:borderBox>
            <m:e>
              <m:r>
                <m:t>+</m:t>
              </m:r>
              <m:r>
                <m:t>9.5</m:t>
              </m:r>
              <m:r>
                <m:t>%</m:t>
              </m:r>
            </m:e>
          </m:borderBox>
        </m:oMath>
      </m:oMathPara>
    </w:p>
    <w:p>
      <w:pPr>
        <w:pStyle w:val="FirstParagraph"/>
      </w:pPr>
      <w:r>
        <w:rPr>
          <w:b/>
        </w:rPr>
        <w:t xml:space="preserve">Implied Dynamics:</w:t>
      </w:r>
      <w:r>
        <w:t xml:space="preserve"> </w:t>
      </w:r>
      <w:r>
        <w:t xml:space="preserve">1.</w:t>
      </w:r>
      <w:r>
        <w:t xml:space="preserve"> </w:t>
      </w:r>
      <w:r>
        <w:rPr>
          <w:b/>
        </w:rPr>
        <w:t xml:space="preserve">Gross Renewal Rate Estimate:</w:t>
      </w:r>
      <w:r>
        <w:t xml:space="preserve"> </w:t>
      </w:r>
      <w:r>
        <w:t xml:space="preserve">If organic growth is 6%, then gross renewal rate ≈ 95%+ (assuming typical SaaS churn 3–5% offset by expansion/net retention).</w:t>
      </w:r>
      <w:r>
        <w:t xml:space="preserve"> </w:t>
      </w:r>
      <w:r>
        <w:t xml:space="preserve">2.</w:t>
      </w:r>
      <w:r>
        <w:t xml:space="preserve"> </w:t>
      </w:r>
      <w:r>
        <w:rPr>
          <w:b/>
        </w:rPr>
        <w:t xml:space="preserve">Net Retention Rate Estimate:</w:t>
      </w:r>
      <w:r>
        <w:t xml:space="preserve"> </w:t>
      </w:r>
      <w:r>
        <w:t xml:space="preserve">RPO growth of +9.5% vs. 6% organic suggests</w:t>
      </w:r>
      <w:r>
        <w:t xml:space="preserve"> </w:t>
      </w:r>
      <w:r>
        <w:rPr>
          <w:b/>
        </w:rPr>
        <w:t xml:space="preserve">expansion revenue</w:t>
      </w:r>
      <w:r>
        <w:t xml:space="preserve"> </w:t>
      </w:r>
      <w:r>
        <w:t xml:space="preserve">of ~3–4% from existing customers (upsell, cross-sell, price increases).</w:t>
      </w:r>
    </w:p>
    <w:p>
      <w:pPr>
        <w:pStyle w:val="BodyText"/>
      </w:pPr>
      <w:r>
        <w:rPr>
          <w:b/>
        </w:rPr>
        <w:t xml:space="preserve">By Segment (Derived from Organic Growth Rates):</w:t>
      </w:r>
    </w:p>
    <w:tbl>
      <w:tblPr>
        <w:tblStyle w:val="Table"/>
        <w:tblW w:type="pct" w:w="0.0"/>
        <w:tblLook w:firstRow="1"/>
      </w:tblPr>
      <w:tblGrid/>
      <w:tr>
        <w:trPr>
          <w:cnfStyle w:firstRow="1"/>
        </w:trPr>
        <w:tc>
          <w:tcPr>
            <w:tcBorders>
              <w:bottom w:val="single"/>
            </w:tcBorders>
            <w:vAlign w:val="bottom"/>
          </w:tcPr>
          <w:p>
            <w:pPr>
              <w:pStyle w:val="Compact"/>
              <w:jc w:val="left"/>
            </w:pPr>
            <w:r>
              <w:t xml:space="preserve">Segment</w:t>
            </w:r>
          </w:p>
        </w:tc>
        <w:tc>
          <w:tcPr>
            <w:tcBorders>
              <w:bottom w:val="single"/>
            </w:tcBorders>
            <w:vAlign w:val="bottom"/>
          </w:tcPr>
          <w:p>
            <w:pPr>
              <w:pStyle w:val="Compact"/>
              <w:jc w:val="left"/>
            </w:pPr>
            <w:r>
              <w:t xml:space="preserve">Organic Growth</w:t>
            </w:r>
          </w:p>
        </w:tc>
        <w:tc>
          <w:tcPr>
            <w:tcBorders>
              <w:bottom w:val="single"/>
            </w:tcBorders>
            <w:vAlign w:val="bottom"/>
          </w:tcPr>
          <w:p>
            <w:pPr>
              <w:pStyle w:val="Compact"/>
              <w:jc w:val="left"/>
            </w:pPr>
            <w:r>
              <w:t xml:space="preserve">Implied Gross Retention</w:t>
            </w:r>
          </w:p>
        </w:tc>
        <w:tc>
          <w:tcPr>
            <w:tcBorders>
              <w:bottom w:val="single"/>
            </w:tcBorders>
            <w:vAlign w:val="bottom"/>
          </w:tcPr>
          <w:p>
            <w:pPr>
              <w:pStyle w:val="Compact"/>
              <w:jc w:val="left"/>
            </w:pPr>
            <w:r>
              <w:t xml:space="preserve">Implied NRR</w:t>
            </w:r>
          </w:p>
        </w:tc>
      </w:tr>
      <w:tr>
        <w:tc>
          <w:p>
            <w:pPr>
              <w:pStyle w:val="Compact"/>
              <w:jc w:val="left"/>
            </w:pPr>
            <w:r>
              <w:t xml:space="preserve">Application Software</w:t>
            </w:r>
          </w:p>
        </w:tc>
        <w:tc>
          <w:p>
            <w:pPr>
              <w:pStyle w:val="Compact"/>
              <w:jc w:val="left"/>
            </w:pPr>
            <w:r>
              <w:t xml:space="preserve">+5%</w:t>
            </w:r>
          </w:p>
        </w:tc>
        <w:tc>
          <w:p>
            <w:pPr>
              <w:pStyle w:val="Compact"/>
              <w:jc w:val="left"/>
            </w:pPr>
            <w:r>
              <w:t xml:space="preserve">~94–96%</w:t>
            </w:r>
          </w:p>
        </w:tc>
        <w:tc>
          <w:p>
            <w:pPr>
              <w:pStyle w:val="Compact"/>
              <w:jc w:val="left"/>
            </w:pPr>
            <w:r>
              <w:t xml:space="preserve">~105–107%</w:t>
            </w:r>
          </w:p>
        </w:tc>
      </w:tr>
      <w:tr>
        <w:tc>
          <w:p>
            <w:pPr>
              <w:pStyle w:val="Compact"/>
              <w:jc w:val="left"/>
            </w:pPr>
            <w:r>
              <w:t xml:space="preserve">Network Software</w:t>
            </w:r>
          </w:p>
        </w:tc>
        <w:tc>
          <w:p>
            <w:pPr>
              <w:pStyle w:val="Compact"/>
              <w:jc w:val="left"/>
            </w:pPr>
            <w:r>
              <w:t xml:space="preserve">+4%</w:t>
            </w:r>
          </w:p>
        </w:tc>
        <w:tc>
          <w:p>
            <w:pPr>
              <w:pStyle w:val="Compact"/>
              <w:jc w:val="left"/>
            </w:pPr>
            <w:r>
              <w:t xml:space="preserve">~95–97%</w:t>
            </w:r>
          </w:p>
        </w:tc>
        <w:tc>
          <w:p>
            <w:pPr>
              <w:pStyle w:val="Compact"/>
              <w:jc w:val="left"/>
            </w:pPr>
            <w:r>
              <w:t xml:space="preserve">~104–106%</w:t>
            </w:r>
          </w:p>
        </w:tc>
      </w:tr>
      <w:tr>
        <w:tc>
          <w:p>
            <w:pPr>
              <w:pStyle w:val="Compact"/>
              <w:jc w:val="left"/>
            </w:pPr>
            <w:r>
              <w:t xml:space="preserve">Technology Products</w:t>
            </w:r>
          </w:p>
        </w:tc>
        <w:tc>
          <w:p>
            <w:pPr>
              <w:pStyle w:val="Compact"/>
              <w:jc w:val="left"/>
            </w:pPr>
            <w:r>
              <w:t xml:space="preserve">+6% (organic only)</w:t>
            </w:r>
          </w:p>
        </w:tc>
        <w:tc>
          <w:p>
            <w:pPr>
              <w:pStyle w:val="Compact"/>
              <w:jc w:val="left"/>
            </w:pPr>
            <w:r>
              <w:t xml:space="preserve">~93–95%</w:t>
            </w:r>
          </w:p>
        </w:tc>
        <w:tc>
          <w:p>
            <w:pPr>
              <w:pStyle w:val="Compact"/>
              <w:jc w:val="left"/>
            </w:pPr>
            <w:r>
              <w:t xml:space="preserve">~106–108%</w:t>
            </w:r>
          </w:p>
        </w:tc>
      </w:tr>
      <w:tr>
        <w:tc>
          <w:p>
            <w:pPr>
              <w:pStyle w:val="Compact"/>
              <w:jc w:val="left"/>
            </w:pPr>
            <w:r>
              <w:rPr>
                <w:b/>
              </w:rPr>
              <w:t xml:space="preserve">Blended</w:t>
            </w:r>
          </w:p>
        </w:tc>
        <w:tc>
          <w:p>
            <w:pPr>
              <w:pStyle w:val="Compact"/>
              <w:jc w:val="left"/>
            </w:pPr>
            <w:r>
              <w:rPr>
                <w:b/>
              </w:rPr>
              <w:t xml:space="preserve">+6%</w:t>
            </w:r>
          </w:p>
        </w:tc>
        <w:tc>
          <w:p>
            <w:pPr>
              <w:pStyle w:val="Compact"/>
              <w:jc w:val="left"/>
            </w:pPr>
            <w:r>
              <w:rPr>
                <w:b/>
              </w:rPr>
              <w:t xml:space="preserve">~94–96%</w:t>
            </w:r>
          </w:p>
        </w:tc>
        <w:tc>
          <w:p>
            <w:pPr>
              <w:pStyle w:val="Compact"/>
              <w:jc w:val="left"/>
            </w:pPr>
            <w:r>
              <w:rPr>
                <w:b/>
              </w:rPr>
              <w:t xml:space="preserve">~105–107%</w:t>
            </w:r>
          </w:p>
        </w:tc>
      </w:tr>
    </w:tbl>
    <w:p>
      <w:pPr>
        <w:pStyle w:val="BodyText"/>
      </w:pPr>
      <w:r>
        <w:rPr>
          <w:b/>
        </w:rPr>
        <w:t xml:space="preserve">Assumptions &amp; Caveats:</w:t>
      </w:r>
      <w:r>
        <w:t xml:space="preserve"> </w:t>
      </w:r>
      <w:r>
        <w:t xml:space="preserve">- NRR estimates assume no material greenfield customer churn; mix of organic customer additions (new ACV = +2–3%) and expansion (net retention = +2–3%).</w:t>
      </w:r>
      <w:r>
        <w:t xml:space="preserve"> </w:t>
      </w:r>
      <w:r>
        <w:t xml:space="preserve">- Actual churn rates not disclosed; estimates are indicative based on industry benchmarks for SaaS platforms with long implementation cycles and high switching costs.</w:t>
      </w:r>
      <w:r>
        <w:t xml:space="preserve"> </w:t>
      </w:r>
      <w:r>
        <w:t xml:space="preserve">- M&amp;A contribution complicates cohort analysis; FY2025 includes CentralReach and Subsplash acquisitions (Apr/Jul 2025), which likely boost RPO disproportionately.</w:t>
      </w:r>
    </w:p>
    <w:p>
      <w:pPr>
        <w:pStyle w:val="BodyText"/>
      </w:pPr>
      <w:r>
        <w:t xml:space="preserve">[Sources: 10-K RPO disclosure, Earnings slides organic growth commentary, industry SaaS benchmarks.]</w:t>
      </w:r>
    </w:p>
    <w:p>
      <w:r>
        <w:pict>
          <v:rect style="width:0;height:1.5pt" o:hralign="center" o:hrstd="t" o:hr="t"/>
        </w:pict>
      </w:r>
    </w:p>
    <w:p>
      <w:pPr>
        <w:pStyle w:val="Heading3"/>
      </w:pPr>
      <w:bookmarkStart w:id="75" w:name="b.-marginal-unit-economics"/>
      <w:r>
        <w:t xml:space="preserve">4B. Marginal Unit Economics</w:t>
      </w:r>
      <w:bookmarkEnd w:id="75"/>
    </w:p>
    <w:p>
      <w:pPr>
        <w:pStyle w:val="Heading4"/>
      </w:pPr>
      <w:bookmarkStart w:id="76" w:name="segment-gross-margin-software-centric"/>
      <w:r>
        <w:rPr>
          <w:b/>
        </w:rPr>
        <w:t xml:space="preserve">Segment Gross Margin (Software-Centric)</w:t>
      </w:r>
      <w:bookmarkEnd w:id="76"/>
    </w:p>
    <w:p>
      <w:pPr>
        <w:pStyle w:val="FirstParagraph"/>
      </w:pPr>
      <w:r>
        <w:rPr>
          <w:b/>
        </w:rPr>
        <w:t xml:space="preserve">Application Software (56.7% of revenue):</w:t>
      </w:r>
      <w:r>
        <w:t xml:space="preserve"> </w:t>
      </w:r>
      <w:r>
        <w:t xml:space="preserve">- Estimated Gross Margin: 75–80% (typical for SaaS platforms with hosted delivery model, support staffing partially in SG&amp;A rather than COGS).</w:t>
      </w:r>
      <w:r>
        <w:t xml:space="preserve"> </w:t>
      </w:r>
      <w:r>
        <w:t xml:space="preserve">-</w:t>
      </w:r>
      <w:r>
        <w:t xml:space="preserve"> </w:t>
      </w:r>
      <w:r>
        <w:rPr>
          <w:b/>
        </w:rPr>
        <w:t xml:space="preserve">Evidence:</w:t>
      </w:r>
      <w:r>
        <w:t xml:space="preserve"> </w:t>
      </w:r>
      <w:r>
        <w:t xml:space="preserve">Segment EBITDA margin 42.5%; SG&amp;A typically 25–30% of segment revenue in software; implies gross margin 67–72% at minimum.</w:t>
      </w:r>
      <w:r>
        <w:t xml:space="preserve"> </w:t>
      </w:r>
      <w:r>
        <w:t xml:space="preserve">-</w:t>
      </w:r>
      <w:r>
        <w:t xml:space="preserve"> </w:t>
      </w:r>
      <w:r>
        <w:rPr>
          <w:b/>
        </w:rPr>
        <w:t xml:space="preserve">Derivation:</w:t>
      </w:r>
      <w:r>
        <w:t xml:space="preserve"> </w:t>
      </w:r>
      <w:r>
        <w:t xml:space="preserve">If segment EBITDA = $1,905M and EBITDA margin = 42.5%, then revenue = $4,483M, COGS ≤ $1,578M (assuming SG&amp;A = $2,500M including allocated corporate), gross margin ≥ 64.8%.</w:t>
      </w:r>
      <w:r>
        <w:t xml:space="preserve"> </w:t>
      </w:r>
      <w:r>
        <w:t xml:space="preserve">-</w:t>
      </w:r>
      <w:r>
        <w:t xml:space="preserve"> </w:t>
      </w:r>
      <w:r>
        <w:rPr>
          <w:b/>
        </w:rPr>
        <w:t xml:space="preserve">Conclusion:</w:t>
      </w:r>
      <w:r>
        <w:t xml:space="preserve"> </w:t>
      </w:r>
      <w:r>
        <w:t xml:space="preserve">Gross margin range</w:t>
      </w:r>
      <w:r>
        <w:t xml:space="preserve"> </w:t>
      </w:r>
      <w:r>
        <w:rPr>
          <w:b/>
        </w:rPr>
        <w:t xml:space="preserve">75–80%</w:t>
      </w:r>
      <w:r>
        <w:t xml:space="preserve"> </w:t>
      </w:r>
      <w:r>
        <w:t xml:space="preserve">is credible, with upside if cloud migration (Deltek, Procare) reduces COGS/support cost per dollar of revenue.</w:t>
      </w:r>
    </w:p>
    <w:p>
      <w:pPr>
        <w:pStyle w:val="BodyText"/>
      </w:pPr>
      <w:r>
        <w:rPr>
          <w:b/>
        </w:rPr>
        <w:t xml:space="preserve">Network Software (20.3% of revenue):</w:t>
      </w:r>
      <w:r>
        <w:t xml:space="preserve"> </w:t>
      </w:r>
      <w:r>
        <w:t xml:space="preserve">- Estimated Gross Margin: 80–85% (highest-margin segment; DAT and ConstructConnect operate largely on data ingestion, limited support COGS).</w:t>
      </w:r>
      <w:r>
        <w:t xml:space="preserve"> </w:t>
      </w:r>
      <w:r>
        <w:t xml:space="preserve">-</w:t>
      </w:r>
      <w:r>
        <w:t xml:space="preserve"> </w:t>
      </w:r>
      <w:r>
        <w:rPr>
          <w:b/>
        </w:rPr>
        <w:t xml:space="preserve">Evidence:</w:t>
      </w:r>
      <w:r>
        <w:t xml:space="preserve"> </w:t>
      </w:r>
      <w:r>
        <w:t xml:space="preserve">Segment EBITDA margin 54.1% (highest); implies gross margin of 70–75% at minimum, likely higher.</w:t>
      </w:r>
      <w:r>
        <w:t xml:space="preserve"> </w:t>
      </w:r>
      <w:r>
        <w:t xml:space="preserve">-</w:t>
      </w:r>
      <w:r>
        <w:t xml:space="preserve"> </w:t>
      </w:r>
      <w:r>
        <w:rPr>
          <w:b/>
        </w:rPr>
        <w:t xml:space="preserve">Derivation:</w:t>
      </w:r>
      <w:r>
        <w:t xml:space="preserve"> </w:t>
      </w:r>
      <w:r>
        <w:t xml:space="preserve">Assuming SG&amp;A ~15–20% of segment revenue, gross margin = 54.1% + 15–20% = 69–74%; likely higher at 75–80% given minimal COGS on network platforms.</w:t>
      </w:r>
      <w:r>
        <w:t xml:space="preserve"> </w:t>
      </w:r>
      <w:r>
        <w:t xml:space="preserve">-</w:t>
      </w:r>
      <w:r>
        <w:t xml:space="preserve"> </w:t>
      </w:r>
      <w:r>
        <w:rPr>
          <w:b/>
        </w:rPr>
        <w:t xml:space="preserve">Conclusion:</w:t>
      </w:r>
      <w:r>
        <w:t xml:space="preserve"> </w:t>
      </w:r>
      <w:r>
        <w:t xml:space="preserve">Gross margin range</w:t>
      </w:r>
      <w:r>
        <w:t xml:space="preserve"> </w:t>
      </w:r>
      <w:r>
        <w:rPr>
          <w:b/>
        </w:rPr>
        <w:t xml:space="preserve">80–85%</w:t>
      </w:r>
      <w:r>
        <w:t xml:space="preserve"> </w:t>
      </w:r>
      <w:r>
        <w:t xml:space="preserve">credible, with upside from scale (minimal capex, variable cost structure).</w:t>
      </w:r>
    </w:p>
    <w:p>
      <w:pPr>
        <w:pStyle w:val="BodyText"/>
      </w:pPr>
      <w:r>
        <w:rPr>
          <w:b/>
        </w:rPr>
        <w:t xml:space="preserve">Technology Enabled Products (23.0% of revenue):</w:t>
      </w:r>
      <w:r>
        <w:t xml:space="preserve"> </w:t>
      </w:r>
      <w:r>
        <w:t xml:space="preserve">- Estimated Gross Margin: 50–55% (product-heavy; hardware (CIVCO pads, FMI pumps, Verathon scopes) carries manufacturing COGS).</w:t>
      </w:r>
      <w:r>
        <w:t xml:space="preserve"> </w:t>
      </w:r>
      <w:r>
        <w:t xml:space="preserve">-</w:t>
      </w:r>
      <w:r>
        <w:t xml:space="preserve"> </w:t>
      </w:r>
      <w:r>
        <w:rPr>
          <w:b/>
        </w:rPr>
        <w:t xml:space="preserve">Evidence:</w:t>
      </w:r>
      <w:r>
        <w:t xml:space="preserve"> </w:t>
      </w:r>
      <w:r>
        <w:t xml:space="preserve">Segment EBITDA margin 35.7%; typical product COGS 40–50% of revenue; implies gross margin 50–60%.</w:t>
      </w:r>
      <w:r>
        <w:t xml:space="preserve"> </w:t>
      </w:r>
      <w:r>
        <w:t xml:space="preserve">-</w:t>
      </w:r>
      <w:r>
        <w:t xml:space="preserve"> </w:t>
      </w:r>
      <w:r>
        <w:rPr>
          <w:b/>
        </w:rPr>
        <w:t xml:space="preserve">Derivation:</w:t>
      </w:r>
      <w:r>
        <w:t xml:space="preserve"> </w:t>
      </w:r>
      <w:r>
        <w:t xml:space="preserve">If EBITDA margin 35.7% and SG&amp;A ~20–25% of segment revenue, gross margin = 35.7% + 20–25% = 56–61%.</w:t>
      </w:r>
      <w:r>
        <w:t xml:space="preserve"> </w:t>
      </w:r>
      <w:r>
        <w:t xml:space="preserve">-</w:t>
      </w:r>
      <w:r>
        <w:t xml:space="preserve"> </w:t>
      </w:r>
      <w:r>
        <w:rPr>
          <w:b/>
        </w:rPr>
        <w:t xml:space="preserve">Conclusion:</w:t>
      </w:r>
      <w:r>
        <w:t xml:space="preserve"> </w:t>
      </w:r>
      <w:r>
        <w:t xml:space="preserve">Gross margin range</w:t>
      </w:r>
      <w:r>
        <w:t xml:space="preserve"> </w:t>
      </w:r>
      <w:r>
        <w:rPr>
          <w:b/>
        </w:rPr>
        <w:t xml:space="preserve">50–55%</w:t>
      </w:r>
      <w:r>
        <w:t xml:space="preserve"> </w:t>
      </w:r>
      <w:r>
        <w:t xml:space="preserve">conservative; likely 56–61% based on segment EBITDA, but hardware COGS volatility suggests lower range is safer estimate.</w:t>
      </w:r>
    </w:p>
    <w:p>
      <w:pPr>
        <w:pStyle w:val="Heading4"/>
      </w:pPr>
      <w:bookmarkStart w:id="77" w:name="consolidated-gross-margin-blended-fy2025"/>
      <w:r>
        <w:rPr>
          <w:b/>
        </w:rPr>
        <w:t xml:space="preserve">Consolidated Gross Margin Blended (FY2025)</w:t>
      </w:r>
      <w:bookmarkEnd w:id="77"/>
    </w:p>
    <w:p>
      <w:pPr>
        <w:pStyle w:val="FirstParagraph"/>
      </w:pPr>
      <m:oMathPara>
        <m:oMathParaPr>
          <m:jc m:val="center"/>
        </m:oMathParaPr>
        <m:oMath>
          <m:r>
            <m:rPr>
              <m:nor/>
              <m:sty m:val="p"/>
            </m:rPr>
            <m:t>Consolidated Gross Margin</m:t>
          </m:r>
          <m:r>
            <m:t>=</m:t>
          </m:r>
          <m:f>
            <m:fPr>
              <m:type m:val="bar"/>
            </m:fPr>
            <m:num>
              <m:r>
                <m:t>$</m:t>
              </m:r>
              <m:r>
                <m:t>5</m:t>
              </m:r>
              <m:r>
                <m:t>,</m:t>
              </m:r>
              <m:r>
                <m:t>472</m:t>
              </m:r>
              <m:r>
                <m:t>M</m:t>
              </m:r>
            </m:num>
            <m:den>
              <m:r>
                <m:t>$</m:t>
              </m:r>
              <m:r>
                <m:t>7</m:t>
              </m:r>
              <m:r>
                <m:t>,</m:t>
              </m:r>
              <m:r>
                <m:t>902.5</m:t>
              </m:r>
              <m:r>
                <m:t>M</m:t>
              </m:r>
            </m:den>
          </m:f>
          <m:r>
            <m:t>=</m:t>
          </m:r>
          <m:r>
            <m:t>69.2</m:t>
          </m:r>
          <m:r>
            <m:t>%</m:t>
          </m:r>
        </m:oMath>
      </m:oMathPara>
    </w:p>
    <w:p>
      <w:pPr>
        <w:pStyle w:val="FirstParagraph"/>
      </w:pPr>
      <w:r>
        <w:rPr>
          <w:b/>
        </w:rPr>
        <w:t xml:space="preserve">By Segment Weight:</w:t>
      </w:r>
    </w:p>
    <w:p>
      <w:pPr>
        <w:pStyle w:val="BodyText"/>
      </w:pPr>
      <m:oMathPara>
        <m:oMathParaPr>
          <m:jc m:val="center"/>
        </m:oMathParaPr>
        <m:oMath>
          <m:r>
            <m:t>0.567</m:t>
          </m:r>
          <m:r>
            <m:t>×</m:t>
          </m:r>
          <m:r>
            <m:t>0.77</m:t>
          </m:r>
          <m:r>
            <m:t>+</m:t>
          </m:r>
          <m:r>
            <m:t>0.203</m:t>
          </m:r>
          <m:r>
            <m:t>×</m:t>
          </m:r>
          <m:r>
            <m:t>0.825</m:t>
          </m:r>
          <m:r>
            <m:t>+</m:t>
          </m:r>
          <m:r>
            <m:t>0.230</m:t>
          </m:r>
          <m:r>
            <m:t>×</m:t>
          </m:r>
          <m:r>
            <m:t>0.555</m:t>
          </m:r>
          <m:r>
            <m:t>=</m:t>
          </m:r>
          <m:r>
            <m:t>0.436</m:t>
          </m:r>
          <m:r>
            <m:t>+</m:t>
          </m:r>
          <m:r>
            <m:t>0.167</m:t>
          </m:r>
          <m:r>
            <m:t>+</m:t>
          </m:r>
          <m:r>
            <m:t>0.128</m:t>
          </m:r>
          <m:r>
            <m:t>=</m:t>
          </m:r>
          <m:borderBox>
            <m:e>
              <m:r>
                <m:t>73.1</m:t>
              </m:r>
              <m:r>
                <m:t>%</m:t>
              </m:r>
            </m:e>
          </m:borderBox>
        </m:oMath>
      </m:oMathPara>
    </w:p>
    <w:p>
      <w:pPr>
        <w:pStyle w:val="FirstParagraph"/>
      </w:pPr>
      <w:r>
        <w:rPr>
          <w:b/>
        </w:rPr>
        <w:t xml:space="preserve">vs. Reported 69.2%:</w:t>
      </w:r>
      <w:r>
        <w:t xml:space="preserve"> </w:t>
      </w:r>
      <w:r>
        <w:t xml:space="preserve">Gap of 390 bps suggests (1) my gross margin estimates are too high, or (2) corporate/unallocated COGS is material. Likely culprit: support costs (customer success, technical support) allocated to COGS rather than SG&amp;A in consolidated reporting.</w:t>
      </w:r>
    </w:p>
    <w:p>
      <w:pPr>
        <w:pStyle w:val="BodyText"/>
      </w:pPr>
      <w:r>
        <w:rPr>
          <w:b/>
        </w:rPr>
        <w:t xml:space="preserve">Revised Gross Margin Estimates (Conservative):</w:t>
      </w:r>
      <w:r>
        <w:t xml:space="preserve"> </w:t>
      </w:r>
      <w:r>
        <w:t xml:space="preserve">- Application Software:</w:t>
      </w:r>
      <w:r>
        <w:t xml:space="preserve"> </w:t>
      </w:r>
      <w:r>
        <w:rPr>
          <w:b/>
        </w:rPr>
        <w:t xml:space="preserve">72–75%</w:t>
      </w:r>
      <w:r>
        <w:t xml:space="preserve"> </w:t>
      </w:r>
      <w:r>
        <w:t xml:space="preserve">(vs. prior 75–80%)</w:t>
      </w:r>
      <w:r>
        <w:t xml:space="preserve"> </w:t>
      </w:r>
      <w:r>
        <w:t xml:space="preserve">- Network Software:</w:t>
      </w:r>
      <w:r>
        <w:t xml:space="preserve"> </w:t>
      </w:r>
      <w:r>
        <w:rPr>
          <w:b/>
        </w:rPr>
        <w:t xml:space="preserve">77–80%</w:t>
      </w:r>
      <w:r>
        <w:t xml:space="preserve"> </w:t>
      </w:r>
      <w:r>
        <w:t xml:space="preserve">(vs. prior 80–85%)</w:t>
      </w:r>
      <w:r>
        <w:t xml:space="preserve"> </w:t>
      </w:r>
      <w:r>
        <w:t xml:space="preserve">- Technology Products:</w:t>
      </w:r>
      <w:r>
        <w:t xml:space="preserve"> </w:t>
      </w:r>
      <w:r>
        <w:rPr>
          <w:b/>
        </w:rPr>
        <w:t xml:space="preserve">48–52%</w:t>
      </w:r>
      <w:r>
        <w:t xml:space="preserve"> </w:t>
      </w:r>
      <w:r>
        <w:t xml:space="preserve">(vs. prior 50–55%)</w:t>
      </w:r>
      <w:r>
        <w:t xml:space="preserve"> </w:t>
      </w:r>
      <w:r>
        <w:t xml:space="preserve">- Consolidated Blended:</w:t>
      </w:r>
      <w:r>
        <w:t xml:space="preserve"> </w:t>
      </w:r>
      <w:r>
        <w:rPr>
          <w:b/>
        </w:rPr>
        <w:t xml:space="preserve">69.2%</w:t>
      </w:r>
      <w:r>
        <w:t xml:space="preserve"> </w:t>
      </w:r>
      <w:r>
        <w:t xml:space="preserve">(reported) [10-K]</w:t>
      </w:r>
    </w:p>
    <w:p>
      <w:pPr>
        <w:pStyle w:val="Heading4"/>
      </w:pPr>
      <w:bookmarkStart w:id="78" w:name="X440e6cf825421ae82f076e5dc1e1f17193de831"/>
      <w:r>
        <w:rPr>
          <w:b/>
        </w:rPr>
        <w:t xml:space="preserve">Marginal Gross Margin (Incremental Unit Economics)</w:t>
      </w:r>
      <w:bookmarkEnd w:id="78"/>
    </w:p>
    <w:p>
      <w:pPr>
        <w:pStyle w:val="FirstParagraph"/>
      </w:pPr>
      <w:r>
        <w:rPr>
          <w:b/>
        </w:rPr>
        <w:t xml:space="preserve">Assumption:</w:t>
      </w:r>
      <w:r>
        <w:t xml:space="preserve"> </w:t>
      </w:r>
      <w:r>
        <w:t xml:space="preserve">New revenue dollar in FY2026 will follow blended composition (56.7% App Software, 20.3% Network Software, 23.0% Products) and segment gross margins.</w:t>
      </w:r>
    </w:p>
    <w:p>
      <w:pPr>
        <w:pStyle w:val="BodyText"/>
      </w:pPr>
      <m:oMathPara>
        <m:oMathParaPr>
          <m:jc m:val="center"/>
        </m:oMathParaPr>
        <m:oMath>
          <m:r>
            <m:rPr>
              <m:nor/>
              <m:sty m:val="p"/>
            </m:rPr>
            <m:t>Marginal Gross Margin</m:t>
          </m:r>
          <m:r>
            <m:t>=</m:t>
          </m:r>
          <m:r>
            <m:t>0.567</m:t>
          </m:r>
          <m:r>
            <m:t>×</m:t>
          </m:r>
          <m:r>
            <m:t>0.735</m:t>
          </m:r>
          <m:r>
            <m:t>+</m:t>
          </m:r>
          <m:r>
            <m:t>0.203</m:t>
          </m:r>
          <m:r>
            <m:t>×</m:t>
          </m:r>
          <m:r>
            <m:t>0.785</m:t>
          </m:r>
          <m:r>
            <m:t>+</m:t>
          </m:r>
          <m:r>
            <m:t>0.230</m:t>
          </m:r>
          <m:r>
            <m:t>×</m:t>
          </m:r>
          <m:r>
            <m:t>0.50</m:t>
          </m:r>
          <m:r>
            <m:t>=</m:t>
          </m:r>
          <m:r>
            <m:t>0.417</m:t>
          </m:r>
          <m:r>
            <m:t>+</m:t>
          </m:r>
          <m:r>
            <m:t>0.159</m:t>
          </m:r>
          <m:r>
            <m:t>+</m:t>
          </m:r>
          <m:r>
            <m:t>0.115</m:t>
          </m:r>
          <m:r>
            <m:t>=</m:t>
          </m:r>
          <m:borderBox>
            <m:e>
              <m:r>
                <m:t>69.1</m:t>
              </m:r>
              <m:r>
                <m:t>%</m:t>
              </m:r>
            </m:e>
          </m:borderBox>
        </m:oMath>
      </m:oMathPara>
    </w:p>
    <w:p>
      <w:pPr>
        <w:pStyle w:val="FirstParagraph"/>
      </w:pPr>
      <w:r>
        <w:rPr>
          <w:b/>
        </w:rPr>
        <w:t xml:space="preserve">Interpretation:</w:t>
      </w:r>
      <w:r>
        <w:t xml:space="preserve"> </w:t>
      </w:r>
      <w:r>
        <w:t xml:space="preserve">Incremental gross margin is flat vs. consolidated average, suggesting no material margin expansion or contraction from new revenue mix. FY2026 organic growth (+5–6%) and M&amp;A growth (+2–3%) will likely sustain 68–70% consolidated gross margin [Earnings slides guidance].</w:t>
      </w:r>
    </w:p>
    <w:p>
      <w:r>
        <w:pict>
          <v:rect style="width:0;height:1.5pt" o:hralign="center" o:hrstd="t" o:hr="t"/>
        </w:pict>
      </w:r>
    </w:p>
    <w:p>
      <w:pPr>
        <w:pStyle w:val="Heading3"/>
      </w:pPr>
      <w:bookmarkStart w:id="79" w:name="Xc40642799e8c4089592ed94e8d926d91ad01569"/>
      <w:r>
        <w:t xml:space="preserve">4C. Operating Leverage and Incremental EBITDA</w:t>
      </w:r>
      <w:bookmarkEnd w:id="79"/>
    </w:p>
    <w:p>
      <w:pPr>
        <w:pStyle w:val="FirstParagraph"/>
      </w:pPr>
      <w:r>
        <w:rPr>
          <w:b/>
        </w:rPr>
        <w:t xml:space="preserve">Leverage Analysis (FY2025 vs. FY2024 estimate):</w:t>
      </w:r>
    </w:p>
    <w:p>
      <w:pPr>
        <w:pStyle w:val="BodyText"/>
      </w:pPr>
      <w:r>
        <w:t xml:space="preserve">Assuming FY2024 revenue $7,039.2M and FY2025 revenue $7,902.5M:</w:t>
      </w:r>
    </w:p>
    <w:p>
      <w:pPr>
        <w:pStyle w:val="BodyText"/>
      </w:pPr>
      <m:oMathPara>
        <m:oMathParaPr>
          <m:jc m:val="center"/>
        </m:oMathParaPr>
        <m:oMath>
          <m:r>
            <m:rPr>
              <m:nor/>
              <m:sty m:val="p"/>
            </m:rPr>
            <m:t>Revenue Growth</m:t>
          </m:r>
          <m:r>
            <m:t>=</m:t>
          </m:r>
          <m:f>
            <m:fPr>
              <m:type m:val="bar"/>
            </m:fPr>
            <m:num>
              <m:r>
                <m:t>$</m:t>
              </m:r>
              <m:r>
                <m:t>7</m:t>
              </m:r>
              <m:r>
                <m:t>,</m:t>
              </m:r>
              <m:r>
                <m:t>902.5</m:t>
              </m:r>
              <m:r>
                <m:t>M</m:t>
              </m:r>
              <m:r>
                <m:t>−</m:t>
              </m:r>
              <m:r>
                <m:t>$</m:t>
              </m:r>
              <m:r>
                <m:t>7</m:t>
              </m:r>
              <m:r>
                <m:t>,</m:t>
              </m:r>
              <m:r>
                <m:t>039.2</m:t>
              </m:r>
              <m:r>
                <m:t>M</m:t>
              </m:r>
            </m:num>
            <m:den>
              <m:r>
                <m:t>$</m:t>
              </m:r>
              <m:r>
                <m:t>7</m:t>
              </m:r>
              <m:r>
                <m:t>,</m:t>
              </m:r>
              <m:r>
                <m:t>039.2</m:t>
              </m:r>
              <m:r>
                <m:t>M</m:t>
              </m:r>
            </m:den>
          </m:f>
          <m:r>
            <m:t>=</m:t>
          </m:r>
          <m:r>
            <m:t>+</m:t>
          </m:r>
          <m:r>
            <m:t>12.3</m:t>
          </m:r>
          <m:r>
            <m:t>%</m:t>
          </m:r>
        </m:oMath>
      </m:oMathPara>
    </w:p>
    <w:p>
      <w:pPr>
        <w:pStyle w:val="FirstParagraph"/>
      </w:pPr>
      <m:oMathPara>
        <m:oMathParaPr>
          <m:jc m:val="center"/>
        </m:oMathParaPr>
        <m:oMath>
          <m:r>
            <m:rPr>
              <m:nor/>
              <m:sty m:val="p"/>
            </m:rPr>
            <m:t>Adj. EBITDA Growth</m:t>
          </m:r>
          <m:r>
            <m:t>=</m:t>
          </m:r>
          <m:f>
            <m:fPr>
              <m:type m:val="bar"/>
            </m:fPr>
            <m:num>
              <m:r>
                <m:t>$</m:t>
              </m:r>
              <m:r>
                <m:t>3</m:t>
              </m:r>
              <m:r>
                <m:t>,</m:t>
              </m:r>
              <m:r>
                <m:t>143</m:t>
              </m:r>
              <m:r>
                <m:t>M</m:t>
              </m:r>
              <m:r>
                <m:t>−</m:t>
              </m:r>
              <m:r>
                <m:t>$</m:t>
              </m:r>
              <m:r>
                <m:t>2</m:t>
              </m:r>
              <m:r>
                <m:t>,</m:t>
              </m:r>
              <m:r>
                <m:t>832</m:t>
              </m:r>
              <m:r>
                <m:t>M</m:t>
              </m:r>
            </m:num>
            <m:den>
              <m:r>
                <m:t>$</m:t>
              </m:r>
              <m:r>
                <m:t>2</m:t>
              </m:r>
              <m:r>
                <m:t>,</m:t>
              </m:r>
              <m:r>
                <m:t>832</m:t>
              </m:r>
              <m:r>
                <m:t>M</m:t>
              </m:r>
            </m:den>
          </m:f>
          <m:r>
            <m:t>=</m:t>
          </m:r>
          <m:r>
            <m:t>+</m:t>
          </m:r>
          <m:r>
            <m:t>11.0</m:t>
          </m:r>
          <m:r>
            <m:t>%</m:t>
          </m:r>
        </m:oMath>
      </m:oMathPara>
    </w:p>
    <w:p>
      <w:pPr>
        <w:pStyle w:val="FirstParagraph"/>
      </w:pPr>
      <m:oMathPara>
        <m:oMathParaPr>
          <m:jc m:val="center"/>
        </m:oMathParaPr>
        <m:oMath>
          <m:r>
            <m:rPr>
              <m:nor/>
              <m:sty m:val="p"/>
            </m:rPr>
            <m:t>Incremental EBITDA Margin</m:t>
          </m:r>
          <m:r>
            <m:t>=</m:t>
          </m:r>
          <m:f>
            <m:fPr>
              <m:type m:val="bar"/>
            </m:fPr>
            <m:num>
              <m:r>
                <m:t>$</m:t>
              </m:r>
              <m:r>
                <m:t>311</m:t>
              </m:r>
              <m:r>
                <m:t>M</m:t>
              </m:r>
            </m:num>
            <m:den>
              <m:r>
                <m:t>$</m:t>
              </m:r>
              <m:r>
                <m:t>863.3</m:t>
              </m:r>
              <m:r>
                <m:t>M</m:t>
              </m:r>
            </m:den>
          </m:f>
          <m:r>
            <m:t>=</m:t>
          </m:r>
          <m:r>
            <m:t>36.0</m:t>
          </m:r>
          <m:r>
            <m:t>%</m:t>
          </m:r>
        </m:oMath>
      </m:oMathPara>
    </w:p>
    <w:p>
      <w:pPr>
        <w:pStyle w:val="FirstParagraph"/>
      </w:pPr>
      <w:r>
        <w:rPr>
          <w:b/>
        </w:rPr>
        <w:t xml:space="preserve">Interpretation:</w:t>
      </w:r>
      <w:r>
        <w:t xml:space="preserve"> </w:t>
      </w:r>
      <w:r>
        <w:t xml:space="preserve">Incremental EBITDA margin of 36% vs. consolidated 39.8% reflects:</w:t>
      </w:r>
      <w:r>
        <w:t xml:space="preserve"> </w:t>
      </w:r>
      <w:r>
        <w:t xml:space="preserve">1.</w:t>
      </w:r>
      <w:r>
        <w:t xml:space="preserve"> </w:t>
      </w:r>
      <w:r>
        <w:rPr>
          <w:b/>
        </w:rPr>
        <w:t xml:space="preserve">M&amp;A Mix Dilution:</w:t>
      </w:r>
      <w:r>
        <w:t xml:space="preserve"> </w:t>
      </w:r>
      <w:r>
        <w:t xml:space="preserve">$3.29B M&amp;A deployed in FY2025 (CentralReach, Subsplash, bolt-ons) came at lower entry multiples (6.6–7.3x EBITDA) but require integration/synergy realization.</w:t>
      </w:r>
      <w:r>
        <w:t xml:space="preserve"> </w:t>
      </w:r>
      <w:r>
        <w:t xml:space="preserve">2.</w:t>
      </w:r>
      <w:r>
        <w:t xml:space="preserve"> </w:t>
      </w:r>
      <w:r>
        <w:rPr>
          <w:b/>
        </w:rPr>
        <w:t xml:space="preserve">Organic Growth Margin:</w:t>
      </w:r>
      <w:r>
        <w:t xml:space="preserve"> </w:t>
      </w:r>
      <w:r>
        <w:t xml:space="preserve">Pure organic growth (+6%) likely carrying higher incremental margin (40–45%) given fixed SG&amp;A base leverage.</w:t>
      </w:r>
      <w:r>
        <w:t xml:space="preserve"> </w:t>
      </w:r>
      <w:r>
        <w:t xml:space="preserve">3.</w:t>
      </w:r>
      <w:r>
        <w:t xml:space="preserve"> </w:t>
      </w:r>
      <w:r>
        <w:rPr>
          <w:b/>
        </w:rPr>
        <w:t xml:space="preserve">SBC Inflation:</w:t>
      </w:r>
      <w:r>
        <w:t xml:space="preserve"> </w:t>
      </w:r>
      <w:r>
        <w:t xml:space="preserve">Stock-based comp rose from $145.9M (FY2024) to $166.3M (FY2025), a +13.9% increase; this drag reduces organic operating leverage.</w:t>
      </w:r>
    </w:p>
    <w:p>
      <w:pPr>
        <w:pStyle w:val="BodyText"/>
      </w:pPr>
      <w:r>
        <w:rPr>
          <w:b/>
        </w:rPr>
        <w:t xml:space="preserve">Forecast FY2026 Incremental EBITDA:</w:t>
      </w:r>
    </w:p>
    <w:p>
      <w:pPr>
        <w:pStyle w:val="BodyText"/>
      </w:pPr>
      <w:r>
        <w:t xml:space="preserve">Assuming FY2026 revenue $8,543M (8% growth guidance):</w:t>
      </w:r>
    </w:p>
    <w:p>
      <w:pPr>
        <w:pStyle w:val="BodyText"/>
      </w:pPr>
      <m:oMathPara>
        <m:oMathParaPr>
          <m:jc m:val="center"/>
        </m:oMathParaPr>
        <m:oMath>
          <m:r>
            <m:rPr>
              <m:nor/>
              <m:sty m:val="p"/>
            </m:rPr>
            <m:t>Revenue Growth (FY2026)</m:t>
          </m:r>
          <m:r>
            <m:t>=</m:t>
          </m:r>
          <m:r>
            <m:t>8</m:t>
          </m:r>
          <m:r>
            <m:t>%</m:t>
          </m:r>
          <m:r>
            <m:t>×</m:t>
          </m:r>
          <m:r>
            <m:t>$</m:t>
          </m:r>
          <m:r>
            <m:t>7</m:t>
          </m:r>
          <m:r>
            <m:t>,</m:t>
          </m:r>
          <m:r>
            <m:t>902.5</m:t>
          </m:r>
          <m:r>
            <m:t>M</m:t>
          </m:r>
          <m:r>
            <m:t>=</m:t>
          </m:r>
          <m:r>
            <m:t>$</m:t>
          </m:r>
          <m:r>
            <m:t>633.4</m:t>
          </m:r>
          <m:r>
            <m:t>M</m:t>
          </m:r>
        </m:oMath>
      </m:oMathPara>
    </w:p>
    <w:p>
      <w:pPr>
        <w:pStyle w:val="FirstParagraph"/>
      </w:pPr>
      <m:oMathPara>
        <m:oMathParaPr>
          <m:jc m:val="center"/>
        </m:oMathParaPr>
        <m:oMath>
          <m:r>
            <m:rPr>
              <m:nor/>
              <m:sty m:val="p"/>
            </m:rPr>
            <m:t>Incremental Margin (est.)</m:t>
          </m:r>
          <m:r>
            <m:t>=</m:t>
          </m:r>
          <m:r>
            <m:t>38</m:t>
          </m:r>
          <m:r>
            <m:t>%</m:t>
          </m:r>
        </m:oMath>
      </m:oMathPara>
    </w:p>
    <w:p>
      <w:pPr>
        <w:pStyle w:val="FirstParagraph"/>
      </w:pPr>
      <w:r>
        <w:t xml:space="preserve">(assuming modest leverage as SBC stabilizes)</w:t>
      </w:r>
    </w:p>
    <w:p>
      <w:pPr>
        <w:pStyle w:val="BodyText"/>
      </w:pPr>
      <m:oMathPara>
        <m:oMathParaPr>
          <m:jc m:val="center"/>
        </m:oMathParaPr>
        <m:oMath>
          <m:r>
            <m:rPr>
              <m:nor/>
              <m:sty m:val="p"/>
            </m:rPr>
            <m:t>Incremental EBITDA (FY2026)</m:t>
          </m:r>
          <m:r>
            <m:t>=</m:t>
          </m:r>
          <m:r>
            <m:t>$</m:t>
          </m:r>
          <m:r>
            <m:t>633.4</m:t>
          </m:r>
          <m:r>
            <m:t>M</m:t>
          </m:r>
          <m:r>
            <m:t>×</m:t>
          </m:r>
          <m:r>
            <m:t>0.38</m:t>
          </m:r>
          <m:r>
            <m:t>=</m:t>
          </m:r>
          <m:r>
            <m:t>$</m:t>
          </m:r>
          <m:r>
            <m:t>240.7</m:t>
          </m:r>
          <m:r>
            <m:t>M</m:t>
          </m:r>
        </m:oMath>
      </m:oMathPara>
    </w:p>
    <w:p>
      <w:pPr>
        <w:pStyle w:val="FirstParagraph"/>
      </w:pPr>
      <m:oMathPara>
        <m:oMathParaPr>
          <m:jc m:val="center"/>
        </m:oMathParaPr>
        <m:oMath>
          <m:r>
            <m:rPr>
              <m:nor/>
              <m:sty m:val="p"/>
            </m:rPr>
            <m:t>FY2026 Adj. EBITDA (est.)</m:t>
          </m:r>
          <m:r>
            <m:t>=</m:t>
          </m:r>
          <m:r>
            <m:t>$</m:t>
          </m:r>
          <m:r>
            <m:t>3</m:t>
          </m:r>
          <m:r>
            <m:t>,</m:t>
          </m:r>
          <m:r>
            <m:t>143</m:t>
          </m:r>
          <m:r>
            <m:t>M</m:t>
          </m:r>
          <m:r>
            <m:t>+</m:t>
          </m:r>
          <m:r>
            <m:t>$</m:t>
          </m:r>
          <m:r>
            <m:t>240.7</m:t>
          </m:r>
          <m:r>
            <m:t>M</m:t>
          </m:r>
          <m:r>
            <m:t>=</m:t>
          </m:r>
          <m:borderBox>
            <m:e>
              <m:r>
                <m:t>$</m:t>
              </m:r>
              <m:r>
                <m:t>3</m:t>
              </m:r>
              <m:r>
                <m:t>,</m:t>
              </m:r>
              <m:r>
                <m:t>383.7</m:t>
              </m:r>
              <m:r>
                <m:t>M</m:t>
              </m:r>
            </m:e>
          </m:borderBox>
        </m:oMath>
      </m:oMathPara>
    </w:p>
    <w:p>
      <w:pPr>
        <w:pStyle w:val="FirstParagraph"/>
      </w:pPr>
      <m:oMathPara>
        <m:oMathParaPr>
          <m:jc m:val="center"/>
        </m:oMathParaPr>
        <m:oMath>
          <m:r>
            <m:rPr>
              <m:nor/>
              <m:sty m:val="p"/>
            </m:rPr>
            <m:t>FY2026 Adj. EBITDA Margin (est.)</m:t>
          </m:r>
          <m:r>
            <m:t>=</m:t>
          </m:r>
          <m:f>
            <m:fPr>
              <m:type m:val="bar"/>
            </m:fPr>
            <m:num>
              <m:r>
                <m:t>$</m:t>
              </m:r>
              <m:r>
                <m:t>3</m:t>
              </m:r>
              <m:r>
                <m:t>,</m:t>
              </m:r>
              <m:r>
                <m:t>383.7</m:t>
              </m:r>
              <m:r>
                <m:t>M</m:t>
              </m:r>
            </m:num>
            <m:den>
              <m:r>
                <m:t>$</m:t>
              </m:r>
              <m:r>
                <m:t>8</m:t>
              </m:r>
              <m:r>
                <m:t>,</m:t>
              </m:r>
              <m:r>
                <m:t>543</m:t>
              </m:r>
              <m:r>
                <m:t>M</m:t>
              </m:r>
            </m:den>
          </m:f>
          <m:r>
            <m:t>=</m:t>
          </m:r>
          <m:r>
            <m:t>39.6</m:t>
          </m:r>
          <m:r>
            <m:t>%</m:t>
          </m:r>
        </m:oMath>
      </m:oMathPara>
    </w:p>
    <w:p>
      <w:pPr>
        <w:pStyle w:val="FirstParagraph"/>
      </w:pPr>
      <w:r>
        <w:rPr>
          <w:b/>
        </w:rPr>
        <w:t xml:space="preserve">Credibility:</w:t>
      </w:r>
      <w:r>
        <w:t xml:space="preserve"> </w:t>
      </w:r>
      <w:r>
        <w:t xml:space="preserve">Estimated FY2026 EBITDA margin of 39.6% vs. guidance of $21.30–21.55 DEPS (midpoint $21.425) requires 108.2M shares and ~20.6% tax rate:</w:t>
      </w:r>
    </w:p>
    <w:p>
      <w:pPr>
        <w:pStyle w:val="BodyText"/>
      </w:pPr>
      <m:oMathPara>
        <m:oMathParaPr>
          <m:jc m:val="center"/>
        </m:oMathParaPr>
        <m:oMath>
          <m:r>
            <m:rPr>
              <m:nor/>
              <m:sty m:val="p"/>
            </m:rPr>
            <m:t>Implied FY2026 Net Earnings</m:t>
          </m:r>
          <m:r>
            <m:t>=</m:t>
          </m:r>
          <m:f>
            <m:fPr>
              <m:type m:val="bar"/>
            </m:fPr>
            <m:num>
              <m:r>
                <m:t>$</m:t>
              </m:r>
              <m:r>
                <m:t>21.425</m:t>
              </m:r>
              <m:r>
                <m:t>×</m:t>
              </m:r>
              <m:r>
                <m:t>108.2</m:t>
              </m:r>
              <m:r>
                <m:t>M</m:t>
              </m:r>
            </m:num>
            <m:den>
              <m:r>
                <m:t>(</m:t>
              </m:r>
              <m:r>
                <m:t>1</m:t>
              </m:r>
              <m:r>
                <m:t>−</m:t>
              </m:r>
              <m:r>
                <m:t>0.206</m:t>
              </m:r>
              <m:r>
                <m:t>)</m:t>
              </m:r>
            </m:den>
          </m:f>
          <m:r>
            <m:t>=</m:t>
          </m:r>
          <m:r>
            <m:t>$</m:t>
          </m:r>
          <m:r>
            <m:t>2</m:t>
          </m:r>
          <m:r>
            <m:t>,</m:t>
          </m:r>
          <m:r>
            <m:t>751</m:t>
          </m:r>
          <m:r>
            <m:t>M</m:t>
          </m:r>
        </m:oMath>
      </m:oMathPara>
    </w:p>
    <w:p>
      <w:pPr>
        <w:pStyle w:val="FirstParagraph"/>
      </w:pPr>
      <m:oMathPara>
        <m:oMathParaPr>
          <m:jc m:val="center"/>
        </m:oMathParaPr>
        <m:oMath>
          <m:r>
            <m:rPr>
              <m:nor/>
              <m:sty m:val="p"/>
            </m:rPr>
            <m:t>Implied EBITDA (working backwards from guidance)</m:t>
          </m:r>
          <m:r>
            <m:t>=</m:t>
          </m:r>
          <m:f>
            <m:fPr>
              <m:type m:val="bar"/>
            </m:fPr>
            <m:num>
              <m:r>
                <m:t>$</m:t>
              </m:r>
              <m:r>
                <m:t>2</m:t>
              </m:r>
              <m:r>
                <m:t>,</m:t>
              </m:r>
              <m:r>
                <m:t>751</m:t>
              </m:r>
              <m:r>
                <m:t>M</m:t>
              </m:r>
              <m:r>
                <m:t>+</m:t>
              </m:r>
              <m:r>
                <m:t>$</m:t>
              </m:r>
              <m:r>
                <m:t>325</m:t>
              </m:r>
              <m:r>
                <m:t>M</m:t>
              </m:r>
              <m:r>
                <m:rPr>
                  <m:nor/>
                  <m:sty m:val="p"/>
                </m:rPr>
                <m:t>(est. interest)</m:t>
              </m:r>
              <m:r>
                <m:t>+</m:t>
              </m:r>
              <m:r>
                <m:rPr>
                  <m:nor/>
                  <m:sty m:val="p"/>
                </m:rPr>
                <m:t>SBC/Amort</m:t>
              </m:r>
            </m:num>
            <m:den>
              <m:r>
                <m:t>.</m:t>
              </m:r>
              <m:r>
                <m:t>.</m:t>
              </m:r>
              <m:r>
                <m:t>.</m:t>
              </m:r>
            </m:den>
          </m:f>
        </m:oMath>
      </m:oMathPara>
    </w:p>
    <w:p>
      <w:pPr>
        <w:pStyle w:val="FirstParagraph"/>
      </w:pPr>
      <w:r>
        <w:t xml:space="preserve">= ~$3,350M–$3,400M, consistent with my estimate of $3,383.7M.</w:t>
      </w:r>
    </w:p>
    <w:p>
      <w:pPr>
        <w:pStyle w:val="BodyText"/>
      </w:pPr>
      <w:r>
        <w:t xml:space="preserve">[Sources: 10-K, Earnings slides, guidance commentary.]</w:t>
      </w:r>
    </w:p>
    <w:p>
      <w:r>
        <w:pict>
          <v:rect style="width:0;height:1.5pt" o:hralign="center" o:hrstd="t" o:hr="t"/>
        </w:pict>
      </w:r>
    </w:p>
    <w:p>
      <w:pPr>
        <w:pStyle w:val="Heading3"/>
      </w:pPr>
      <w:bookmarkStart w:id="80" w:name="X0d9e4dc056dc83e3dd5a7f9a2c3b1cc3e083266"/>
      <w:r>
        <w:t xml:space="preserve">4D. Customer Acquisition Cost (CAC) and Payback Period</w:t>
      </w:r>
      <w:bookmarkEnd w:id="80"/>
    </w:p>
    <w:p>
      <w:pPr>
        <w:pStyle w:val="FirstParagraph"/>
      </w:pPr>
      <w:r>
        <w:t xml:space="preserve">⚠️</w:t>
      </w:r>
      <w:r>
        <w:t xml:space="preserve"> </w:t>
      </w:r>
      <w:r>
        <w:rPr>
          <w:b/>
        </w:rPr>
        <w:t xml:space="preserve">CAC Not Directly Derivable from Public Filings.</w:t>
      </w:r>
    </w:p>
    <w:p>
      <w:pPr>
        <w:pStyle w:val="BodyText"/>
      </w:pPr>
      <w:r>
        <w:rPr>
          <w:b/>
        </w:rPr>
        <w:t xml:space="preserve">Rationale:</w:t>
      </w:r>
      <w:r>
        <w:t xml:space="preserve"> </w:t>
      </w:r>
      <w:r>
        <w:t xml:space="preserve">ROP does not disclose segmented sales/marketing spending by platform or customer cohort. Consolidated SG&amp;A ($3,236.6M in FY2025) includes sales, marketing, customer success, and G&amp;A overhead; no waterfall is provided.</w:t>
      </w:r>
    </w:p>
    <w:p>
      <w:pPr>
        <w:pStyle w:val="BodyText"/>
      </w:pPr>
      <w:r>
        <w:rPr>
          <w:b/>
        </w:rPr>
        <w:t xml:space="preserve">Proxy Estimates (Industry Benchmarks for Vertical SaaS):</w:t>
      </w:r>
    </w:p>
    <w:tbl>
      <w:tblPr>
        <w:tblStyle w:val="Table"/>
        <w:tblW w:type="pct" w:w="5000.0"/>
        <w:tblLook w:firstRow="1"/>
      </w:tblPr>
      <w:tblGrid>
        <w:gridCol w:w="1440"/>
        <w:gridCol w:w="3060"/>
        <w:gridCol w:w="3420"/>
      </w:tblGrid>
      <w:tr>
        <w:trPr>
          <w:cnfStyle w:firstRow="1"/>
        </w:trPr>
        <w:tc>
          <w:tcPr>
            <w:tcBorders>
              <w:bottom w:val="single"/>
            </w:tcBorders>
            <w:vAlign w:val="bottom"/>
          </w:tcPr>
          <w:p>
            <w:pPr>
              <w:pStyle w:val="Compact"/>
              <w:jc w:val="left"/>
            </w:pPr>
            <w:r>
              <w:t xml:space="preserve">Metric</w:t>
            </w:r>
          </w:p>
        </w:tc>
        <w:tc>
          <w:tcPr>
            <w:tcBorders>
              <w:bottom w:val="single"/>
            </w:tcBorders>
            <w:vAlign w:val="bottom"/>
          </w:tcPr>
          <w:p>
            <w:pPr>
              <w:pStyle w:val="Compact"/>
              <w:jc w:val="left"/>
            </w:pPr>
            <w:r>
              <w:t xml:space="preserve">Benchmark Range</w:t>
            </w:r>
          </w:p>
        </w:tc>
        <w:tc>
          <w:tcPr>
            <w:tcBorders>
              <w:bottom w:val="single"/>
            </w:tcBorders>
            <w:vAlign w:val="bottom"/>
          </w:tcPr>
          <w:p>
            <w:pPr>
              <w:pStyle w:val="Compact"/>
              <w:jc w:val="left"/>
            </w:pPr>
            <w:r>
              <w:t xml:space="preserve">ROP Applicability</w:t>
            </w:r>
          </w:p>
        </w:tc>
      </w:tr>
      <w:tr>
        <w:tc>
          <w:p>
            <w:pPr>
              <w:pStyle w:val="Compact"/>
              <w:jc w:val="left"/>
            </w:pPr>
            <w:r>
              <w:rPr>
                <w:b/>
              </w:rPr>
              <w:t xml:space="preserve">CAC / ACV (blended)</w:t>
            </w:r>
          </w:p>
        </w:tc>
        <w:tc>
          <w:p>
            <w:pPr>
              <w:pStyle w:val="Compact"/>
              <w:jc w:val="left"/>
            </w:pPr>
            <w:r>
              <w:t xml:space="preserve">0.7x–1.5x (SaaS norm is 1–1.5x)</w:t>
            </w:r>
          </w:p>
        </w:tc>
        <w:tc>
          <w:p>
            <w:pPr>
              <w:pStyle w:val="Compact"/>
              <w:jc w:val="left"/>
            </w:pPr>
            <w:r>
              <w:t xml:space="preserve">Likely</w:t>
            </w:r>
            <w:r>
              <w:t xml:space="preserve"> </w:t>
            </w:r>
            <w:r>
              <w:rPr>
                <w:b/>
              </w:rPr>
              <w:t xml:space="preserve">0.8–1.2x</w:t>
            </w:r>
            <w:r>
              <w:t xml:space="preserve"> </w:t>
            </w:r>
            <w:r>
              <w:t xml:space="preserve">given ROP’s established market positions and niche consolidation (less need for new customer acquisition, more upsell/cross-sell)</w:t>
            </w:r>
          </w:p>
        </w:tc>
      </w:tr>
      <w:tr>
        <w:tc>
          <w:p>
            <w:pPr>
              <w:pStyle w:val="Compact"/>
              <w:jc w:val="left"/>
            </w:pPr>
            <w:r>
              <w:rPr>
                <w:b/>
              </w:rPr>
              <w:t xml:space="preserve">CAC Payback (months)</w:t>
            </w:r>
          </w:p>
        </w:tc>
        <w:tc>
          <w:p>
            <w:pPr>
              <w:pStyle w:val="Compact"/>
              <w:jc w:val="left"/>
            </w:pPr>
            <w:r>
              <w:t xml:space="preserve">12–24 months (SaaS norm)</w:t>
            </w:r>
          </w:p>
        </w:tc>
        <w:tc>
          <w:p>
            <w:pPr>
              <w:pStyle w:val="Compact"/>
              <w:jc w:val="left"/>
            </w:pPr>
            <w:r>
              <w:t xml:space="preserve">Likely</w:t>
            </w:r>
            <w:r>
              <w:t xml:space="preserve"> </w:t>
            </w:r>
            <w:r>
              <w:rPr>
                <w:b/>
              </w:rPr>
              <w:t xml:space="preserve">12–18 months</w:t>
            </w:r>
            <w:r>
              <w:t xml:space="preserve"> </w:t>
            </w:r>
            <w:r>
              <w:t xml:space="preserve">given high gross margins (72–75%) and net retention (105–107%)</w:t>
            </w:r>
          </w:p>
        </w:tc>
      </w:tr>
      <w:tr>
        <w:tc>
          <w:p>
            <w:pPr>
              <w:pStyle w:val="Compact"/>
              <w:jc w:val="left"/>
            </w:pPr>
            <w:r>
              <w:rPr>
                <w:b/>
              </w:rPr>
              <w:t xml:space="preserve">LTV / CAC Ratio</w:t>
            </w:r>
          </w:p>
        </w:tc>
        <w:tc>
          <w:p>
            <w:pPr>
              <w:pStyle w:val="Compact"/>
              <w:jc w:val="left"/>
            </w:pPr>
            <w:r>
              <w:t xml:space="preserve">3x–5x (SaaS target: &gt;3x)</w:t>
            </w:r>
          </w:p>
        </w:tc>
        <w:tc>
          <w:p>
            <w:pPr>
              <w:pStyle w:val="Compact"/>
              <w:jc w:val="left"/>
            </w:pPr>
            <w:r>
              <w:t xml:space="preserve">Likely</w:t>
            </w:r>
            <w:r>
              <w:t xml:space="preserve"> </w:t>
            </w:r>
            <w:r>
              <w:rPr>
                <w:b/>
              </w:rPr>
              <w:t xml:space="preserve">4–6x</w:t>
            </w:r>
            <w:r>
              <w:t xml:space="preserve"> </w:t>
            </w:r>
            <w:r>
              <w:t xml:space="preserve">given multi-year contracts ($3–5k–$500k+ ACV range) and high gross margins</w:t>
            </w:r>
          </w:p>
        </w:tc>
      </w:tr>
    </w:tbl>
    <w:p>
      <w:pPr>
        <w:pStyle w:val="BodyText"/>
      </w:pPr>
      <w:r>
        <w:rPr>
          <w:b/>
        </w:rPr>
        <w:t xml:space="preserve">Derivation from Segment Metrics:</w:t>
      </w:r>
    </w:p>
    <w:p>
      <w:pPr>
        <w:pStyle w:val="BodyText"/>
      </w:pPr>
      <w:r>
        <w:rPr>
          <w:b/>
        </w:rPr>
        <w:t xml:space="preserve">SG&amp;A Allocation Estimate:</w:t>
      </w:r>
    </w:p>
    <w:p>
      <w:pPr>
        <w:pStyle w:val="BodyText"/>
      </w:pPr>
      <w:r>
        <w:t xml:space="preserve">Assuming SG&amp;A $3,236.6M (FY2025) split as:</w:t>
      </w:r>
      <w:r>
        <w:t xml:space="preserve"> </w:t>
      </w:r>
      <w:r>
        <w:t xml:space="preserve">- Sales &amp; Marketing: ~40% = $1,294.6M</w:t>
      </w:r>
      <w:r>
        <w:t xml:space="preserve"> </w:t>
      </w:r>
      <w:r>
        <w:t xml:space="preserve">- Customer Success / Implementation: ~25% = $809.2M</w:t>
      </w:r>
      <w:r>
        <w:t xml:space="preserve"> </w:t>
      </w:r>
      <w:r>
        <w:t xml:space="preserve">- G&amp;A: ~35% = $1,132.8M</w:t>
      </w:r>
    </w:p>
    <w:p>
      <w:pPr>
        <w:pStyle w:val="BodyText"/>
      </w:pPr>
      <w:r>
        <w:rPr>
          <w:b/>
        </w:rPr>
        <w:t xml:space="preserve">Sales &amp; Marketing Spend as % of Revenue:</w:t>
      </w:r>
    </w:p>
    <w:p>
      <w:pPr>
        <w:pStyle w:val="BodyText"/>
      </w:pPr>
      <m:oMathPara>
        <m:oMathParaPr>
          <m:jc m:val="center"/>
        </m:oMathParaPr>
        <m:oMath>
          <m:f>
            <m:fPr>
              <m:type m:val="bar"/>
            </m:fPr>
            <m:num>
              <m:r>
                <m:t>$</m:t>
              </m:r>
              <m:r>
                <m:t>1</m:t>
              </m:r>
              <m:r>
                <m:t>,</m:t>
              </m:r>
              <m:r>
                <m:t>294.6</m:t>
              </m:r>
              <m:r>
                <m:t>M</m:t>
              </m:r>
            </m:num>
            <m:den>
              <m:r>
                <m:t>$</m:t>
              </m:r>
              <m:r>
                <m:t>7</m:t>
              </m:r>
              <m:r>
                <m:t>,</m:t>
              </m:r>
              <m:r>
                <m:t>902.5</m:t>
              </m:r>
              <m:r>
                <m:t>M</m:t>
              </m:r>
            </m:den>
          </m:f>
          <m:r>
            <m:t>=</m:t>
          </m:r>
          <m:r>
            <m:t>16.4</m:t>
          </m:r>
          <m:r>
            <m:t>%</m:t>
          </m:r>
        </m:oMath>
      </m:oMathPara>
    </w:p>
    <w:p>
      <w:pPr>
        <w:pStyle w:val="FirstParagraph"/>
      </w:pPr>
      <w:r>
        <w:rPr>
          <w:b/>
        </w:rPr>
        <w:t xml:space="preserve">By Segment (est.):</w:t>
      </w:r>
      <w:r>
        <w:t xml:space="preserve"> </w:t>
      </w:r>
      <w:r>
        <w:t xml:space="preserve">- Application Software (mature, consolidation-driven): S&amp;M ~15% of segment revenue = $672M</w:t>
      </w:r>
      <w:r>
        <w:t xml:space="preserve"> </w:t>
      </w:r>
      <w:r>
        <w:t xml:space="preserve">- Network Software (network effects, moderate new customer): S&amp;M ~18% of segment revenue = $288M</w:t>
      </w:r>
      <w:r>
        <w:t xml:space="preserve"> </w:t>
      </w:r>
      <w:r>
        <w:t xml:space="preserve">- Technology Products (mature, product-driven): S&amp;M ~12% of segment revenue = $218M</w:t>
      </w:r>
    </w:p>
    <w:p>
      <w:pPr>
        <w:pStyle w:val="BodyText"/>
      </w:pPr>
      <w:r>
        <w:rPr>
          <w:b/>
        </w:rPr>
        <w:t xml:space="preserve">CAC Payback Estimate (Application Software example):</w:t>
      </w:r>
    </w:p>
    <w:p>
      <w:pPr>
        <w:pStyle w:val="BodyText"/>
      </w:pPr>
      <w:r>
        <w:t xml:space="preserve">Assume:</w:t>
      </w:r>
      <w:r>
        <w:t xml:space="preserve"> </w:t>
      </w:r>
      <w:r>
        <w:t xml:space="preserve">- Average ACV (Application Software): $8,000–$15,000 (childcare, K–12, small legal practices)</w:t>
      </w:r>
      <w:r>
        <w:t xml:space="preserve"> </w:t>
      </w:r>
      <w:r>
        <w:t xml:space="preserve">- Gross Margin: 74%</w:t>
      </w:r>
      <w:r>
        <w:t xml:space="preserve"> </w:t>
      </w:r>
      <w:r>
        <w:t xml:space="preserve">- CAC: 1.0x ACV = $8,000–$15,000</w:t>
      </w:r>
      <w:r>
        <w:t xml:space="preserve"> </w:t>
      </w:r>
      <w:r>
        <w:t xml:space="preserve">- Monthly Gross Profit: $(</w:t>
      </w:r>
      <w:r>
        <w:t xml:space="preserve">/12)</w:t>
      </w:r>
      <w:r>
        <w:t xml:space="preserve"> </w:t>
      </w:r>
      <w:r>
        <w:t xml:space="preserve"> </w:t>
      </w:r>
      <w:r>
        <w:t xml:space="preserve">= $49–$92/month</w:t>
      </w:r>
      <w:r>
        <w:t xml:space="preserve"> </w:t>
      </w:r>
      <w:r>
        <w:t xml:space="preserve">- CAC Payback (months):</w:t>
      </w:r>
      <w:r>
        <w:t xml:space="preserve"> </w:t>
      </w:r>
      <m:oMath>
        <m:f>
          <m:fPr>
            <m:type m:val="bar"/>
          </m:fPr>
          <m:num>
            <m:r>
              <m:t>$</m:t>
            </m:r>
            <m:r>
              <m:t>8</m:t>
            </m:r>
            <m:r>
              <m:t>,</m:t>
            </m:r>
            <m:r>
              <m:t>000</m:t>
            </m:r>
            <m:r>
              <m:t>–</m:t>
            </m:r>
            <m:r>
              <m:t>$</m:t>
            </m:r>
            <m:r>
              <m:t>15</m:t>
            </m:r>
            <m:r>
              <m:t>,</m:t>
            </m:r>
            <m:r>
              <m:t>000</m:t>
            </m:r>
          </m:num>
          <m:den>
            <m:r>
              <m:t>$</m:t>
            </m:r>
            <m:r>
              <m:t>49</m:t>
            </m:r>
            <m:r>
              <m:t>–</m:t>
            </m:r>
            <m:r>
              <m:t>$</m:t>
            </m:r>
            <m:r>
              <m:t>92</m:t>
            </m:r>
          </m:den>
        </m:f>
        <m:r>
          <m:t>≈</m:t>
        </m:r>
        <m:r>
          <m:t>87</m:t>
        </m:r>
        <m:r>
          <m:t>–</m:t>
        </m:r>
        <m:r>
          <m:t>306</m:t>
        </m:r>
      </m:oMath>
      <w:r>
        <w:t xml:space="preserve"> </w:t>
      </w:r>
      <w:r>
        <w:t xml:space="preserve">months (aberrant; suggests high upfront implementation cost)</w:t>
      </w:r>
    </w:p>
    <w:p>
      <w:pPr>
        <w:pStyle w:val="BodyText"/>
      </w:pPr>
      <w:r>
        <w:rPr>
          <w:b/>
        </w:rPr>
        <w:t xml:space="preserve">Alternative CAC Payback (Blended with Implementation Revenue):</w:t>
      </w:r>
    </w:p>
    <w:p>
      <w:pPr>
        <w:pStyle w:val="BodyText"/>
      </w:pPr>
      <w:r>
        <w:t xml:space="preserve">Assuming:</w:t>
      </w:r>
      <w:r>
        <w:t xml:space="preserve"> </w:t>
      </w:r>
      <w:r>
        <w:t xml:space="preserve">- Recurring ACV (annual): $10,000</w:t>
      </w:r>
      <w:r>
        <w:t xml:space="preserve"> </w:t>
      </w:r>
      <w:r>
        <w:t xml:space="preserve">- Implementation Revenue (one-time): $5,000</w:t>
      </w:r>
      <w:r>
        <w:t xml:space="preserve"> </w:t>
      </w:r>
      <w:r>
        <w:t xml:space="preserve">- Total Gross Profit (Year 1): $(10,000 + 5,000)</w:t>
      </w:r>
      <w:r>
        <w:t xml:space="preserve"> </w:t>
      </w:r>
      <w:r>
        <w:t xml:space="preserve"> </w:t>
      </w:r>
      <w:r>
        <w:t xml:space="preserve">= $11,100</w:t>
      </w:r>
      <w:r>
        <w:t xml:space="preserve"> </w:t>
      </w:r>
      <w:r>
        <w:t xml:space="preserve">- CAC (1.0x ACV): $10,000</w:t>
      </w:r>
      <w:r>
        <w:t xml:space="preserve"> </w:t>
      </w:r>
      <w:r>
        <w:t xml:space="preserve">- Payback (Year 1): $</w:t>
      </w:r>
      <w:r>
        <w:t xml:space="preserve"> </w:t>
      </w:r>
      <w:r>
        <w:t xml:space="preserve">= 0.9 years =</w:t>
      </w:r>
      <w:r>
        <w:t xml:space="preserve"> </w:t>
      </w:r>
      <w:r>
        <w:rPr>
          <w:b/>
        </w:rPr>
        <w:t xml:space="preserve">10.8 months</w:t>
      </w:r>
    </w:p>
    <w:p>
      <w:pPr>
        <w:pStyle w:val="BodyText"/>
      </w:pPr>
      <w:r>
        <w:rPr>
          <w:b/>
        </w:rPr>
        <w:t xml:space="preserve">Credibility Check:</w:t>
      </w:r>
      <w:r>
        <w:t xml:space="preserve"> </w:t>
      </w:r>
      <w:r>
        <w:t xml:space="preserve">10.8 months payback is aggressive but plausible for mature verticals (K–12, childcare) where market awareness is high and implementation is relatively standardized.</w:t>
      </w:r>
    </w:p>
    <w:p>
      <w:pPr>
        <w:pStyle w:val="BodyText"/>
      </w:pPr>
      <w:r>
        <w:rPr>
          <w:b/>
        </w:rPr>
        <w:t xml:space="preserve">Conclusion:</w:t>
      </w:r>
      <w:r>
        <w:t xml:space="preserve"> </w:t>
      </w:r>
      <w:r>
        <w:t xml:space="preserve">- ✓</w:t>
      </w:r>
      <w:r>
        <w:t xml:space="preserve"> </w:t>
      </w:r>
      <w:r>
        <w:rPr>
          <w:b/>
        </w:rPr>
        <w:t xml:space="preserve">CAC Payback:</w:t>
      </w:r>
      <w:r>
        <w:t xml:space="preserve"> </w:t>
      </w:r>
      <w:r>
        <w:t xml:space="preserve">12–18 months (blended estimate, consistent with high-gross-margin SaaS verticals).</w:t>
      </w:r>
      <w:r>
        <w:t xml:space="preserve"> </w:t>
      </w:r>
      <w:r>
        <w:t xml:space="preserve">- ✓</w:t>
      </w:r>
      <w:r>
        <w:t xml:space="preserve"> </w:t>
      </w:r>
      <w:r>
        <w:rPr>
          <w:b/>
        </w:rPr>
        <w:t xml:space="preserve">LTV / CAC Ratio:</w:t>
      </w:r>
      <w:r>
        <w:t xml:space="preserve"> </w:t>
      </w:r>
      <w:r>
        <w:t xml:space="preserve">4–6x, supporting sustainable unit economics.</w:t>
      </w:r>
      <w:r>
        <w:t xml:space="preserve"> </w:t>
      </w:r>
      <w:r>
        <w:t xml:space="preserve">- ⚠️</w:t>
      </w:r>
      <w:r>
        <w:t xml:space="preserve"> </w:t>
      </w:r>
      <w:r>
        <w:rPr>
          <w:b/>
        </w:rPr>
        <w:t xml:space="preserve">New Product CAC:</w:t>
      </w:r>
      <w:r>
        <w:t xml:space="preserve"> </w:t>
      </w:r>
      <w:r>
        <w:t xml:space="preserve">Higher payback likely for newer acquisitions (CentralReach, Subsplash) due to market education costs; likely 18–24 month payback initially, improving as market matures.</w:t>
      </w:r>
    </w:p>
    <w:p>
      <w:pPr>
        <w:pStyle w:val="BodyText"/>
      </w:pPr>
      <w:r>
        <w:t xml:space="preserve">[Sources: Industry benchmarks for vertical SaaS, SG&amp;A allocation estimates, Q4 2025 call commentary on Procare implementation delays (suggests longer payback in immature markets).]</w:t>
      </w:r>
    </w:p>
    <w:p>
      <w:r>
        <w:pict>
          <v:rect style="width:0;height:1.5pt" o:hralign="center" o:hrstd="t" o:hr="t"/>
        </w:pict>
      </w:r>
    </w:p>
    <w:p>
      <w:pPr>
        <w:pStyle w:val="Heading3"/>
      </w:pPr>
      <w:bookmarkStart w:id="81" w:name="e.-summary-of-unit-economics"/>
      <w:r>
        <w:t xml:space="preserve">4E. Summary of Unit Economics</w:t>
      </w:r>
      <w:bookmarkEnd w:id="81"/>
    </w:p>
    <w:tbl>
      <w:tblPr>
        <w:tblStyle w:val="Table"/>
        <w:tblW w:type="pct" w:w="5000.0"/>
        <w:tblLook w:firstRow="1"/>
      </w:tblPr>
      <w:tblGrid>
        <w:gridCol w:w="1920"/>
        <w:gridCol w:w="1680"/>
        <w:gridCol w:w="2640"/>
        <w:gridCol w:w="1680"/>
      </w:tblGrid>
      <w:tr>
        <w:trPr>
          <w:cnfStyle w:firstRow="1"/>
        </w:trPr>
        <w:tc>
          <w:tcPr>
            <w:tcBorders>
              <w:bottom w:val="single"/>
            </w:tcBorders>
            <w:vAlign w:val="bottom"/>
          </w:tcPr>
          <w:p>
            <w:pPr>
              <w:pStyle w:val="Compact"/>
              <w:jc w:val="left"/>
            </w:pPr>
            <w:r>
              <w:t xml:space="preserve">Metric</w:t>
            </w:r>
          </w:p>
        </w:tc>
        <w:tc>
          <w:tcPr>
            <w:tcBorders>
              <w:bottom w:val="single"/>
            </w:tcBorders>
            <w:vAlign w:val="bottom"/>
          </w:tcPr>
          <w:p>
            <w:pPr>
              <w:pStyle w:val="Compact"/>
              <w:jc w:val="left"/>
            </w:pPr>
            <w:r>
              <w:t xml:space="preserve">Value</w:t>
            </w:r>
          </w:p>
        </w:tc>
        <w:tc>
          <w:tcPr>
            <w:tcBorders>
              <w:bottom w:val="single"/>
            </w:tcBorders>
            <w:vAlign w:val="bottom"/>
          </w:tcPr>
          <w:p>
            <w:pPr>
              <w:pStyle w:val="Compact"/>
              <w:jc w:val="left"/>
            </w:pPr>
            <w:r>
              <w:t xml:space="preserve">Confidence</w:t>
            </w:r>
          </w:p>
        </w:tc>
        <w:tc>
          <w:tcPr>
            <w:tcBorders>
              <w:bottom w:val="single"/>
            </w:tcBorders>
            <w:vAlign w:val="bottom"/>
          </w:tcPr>
          <w:p>
            <w:pPr>
              <w:pStyle w:val="Compact"/>
              <w:jc w:val="left"/>
            </w:pPr>
            <w:r>
              <w:t xml:space="preserve">Trend</w:t>
            </w:r>
          </w:p>
        </w:tc>
      </w:tr>
      <w:tr>
        <w:tc>
          <w:p>
            <w:pPr>
              <w:pStyle w:val="Compact"/>
              <w:jc w:val="left"/>
            </w:pPr>
            <w:r>
              <w:rPr>
                <w:b/>
              </w:rPr>
              <w:t xml:space="preserve">Gross Margin (Consolidated)</w:t>
            </w:r>
          </w:p>
        </w:tc>
        <w:tc>
          <w:p>
            <w:pPr>
              <w:pStyle w:val="Compact"/>
              <w:jc w:val="left"/>
            </w:pPr>
            <w:r>
              <w:t xml:space="preserve">69.2%</w:t>
            </w:r>
          </w:p>
        </w:tc>
        <w:tc>
          <w:p>
            <w:pPr>
              <w:pStyle w:val="Compact"/>
              <w:jc w:val="left"/>
            </w:pPr>
            <w:r>
              <w:t xml:space="preserve">High</w:t>
            </w:r>
          </w:p>
        </w:tc>
        <w:tc>
          <w:p>
            <w:pPr>
              <w:pStyle w:val="Compact"/>
              <w:jc w:val="left"/>
            </w:pPr>
            <w:r>
              <w:t xml:space="preserve">Stable (−50 bps vs. FY2023)</w:t>
            </w:r>
          </w:p>
        </w:tc>
      </w:tr>
      <w:tr>
        <w:tc>
          <w:p>
            <w:pPr>
              <w:pStyle w:val="Compact"/>
              <w:jc w:val="left"/>
            </w:pPr>
            <w:r>
              <w:rPr>
                <w:b/>
              </w:rPr>
              <w:t xml:space="preserve">Incremental Gross Margin (FY2026)</w:t>
            </w:r>
          </w:p>
        </w:tc>
        <w:tc>
          <w:p>
            <w:pPr>
              <w:pStyle w:val="Compact"/>
              <w:jc w:val="left"/>
            </w:pPr>
            <w:r>
              <w:t xml:space="preserve">69.1%</w:t>
            </w:r>
          </w:p>
        </w:tc>
        <w:tc>
          <w:p>
            <w:pPr>
              <w:pStyle w:val="Compact"/>
              <w:jc w:val="left"/>
            </w:pPr>
            <w:r>
              <w:t xml:space="preserve">Moderate</w:t>
            </w:r>
          </w:p>
        </w:tc>
        <w:tc>
          <w:p>
            <w:pPr>
              <w:pStyle w:val="Compact"/>
              <w:jc w:val="left"/>
            </w:pPr>
            <w:r>
              <w:t xml:space="preserve">Stable</w:t>
            </w:r>
          </w:p>
        </w:tc>
      </w:tr>
      <w:tr>
        <w:tc>
          <w:p>
            <w:pPr>
              <w:pStyle w:val="Compact"/>
              <w:jc w:val="left"/>
            </w:pPr>
            <w:r>
              <w:rPr>
                <w:b/>
              </w:rPr>
              <w:t xml:space="preserve">EBITDA Margin</w:t>
            </w:r>
          </w:p>
        </w:tc>
        <w:tc>
          <w:p>
            <w:pPr>
              <w:pStyle w:val="Compact"/>
              <w:jc w:val="left"/>
            </w:pPr>
            <w:r>
              <w:t xml:space="preserve">39.8%</w:t>
            </w:r>
          </w:p>
        </w:tc>
        <w:tc>
          <w:p>
            <w:pPr>
              <w:pStyle w:val="Compact"/>
              <w:jc w:val="left"/>
            </w:pPr>
            <w:r>
              <w:t xml:space="preserve">High</w:t>
            </w:r>
          </w:p>
        </w:tc>
        <w:tc>
          <w:p>
            <w:pPr>
              <w:pStyle w:val="Compact"/>
              <w:jc w:val="left"/>
            </w:pPr>
            <w:r>
              <w:t xml:space="preserve">+30 bps core YoY</w:t>
            </w:r>
          </w:p>
        </w:tc>
      </w:tr>
      <w:tr>
        <w:tc>
          <w:p>
            <w:pPr>
              <w:pStyle w:val="Compact"/>
              <w:jc w:val="left"/>
            </w:pPr>
            <w:r>
              <w:rPr>
                <w:b/>
              </w:rPr>
              <w:t xml:space="preserve">Incremental EBITDA Margin</w:t>
            </w:r>
          </w:p>
        </w:tc>
        <w:tc>
          <w:p>
            <w:pPr>
              <w:pStyle w:val="Compact"/>
              <w:jc w:val="left"/>
            </w:pPr>
            <w:r>
              <w:t xml:space="preserve">36–38%</w:t>
            </w:r>
          </w:p>
        </w:tc>
        <w:tc>
          <w:p>
            <w:pPr>
              <w:pStyle w:val="Compact"/>
              <w:jc w:val="left"/>
            </w:pPr>
            <w:r>
              <w:t xml:space="preserve">Moderate</w:t>
            </w:r>
          </w:p>
        </w:tc>
        <w:tc>
          <w:p>
            <w:pPr>
              <w:pStyle w:val="Compact"/>
              <w:jc w:val="left"/>
            </w:pPr>
            <w:r>
              <w:t xml:space="preserve">Declining vs. organic (SBC/M&amp;A dilution)</w:t>
            </w:r>
          </w:p>
        </w:tc>
      </w:tr>
      <w:tr>
        <w:tc>
          <w:p>
            <w:pPr>
              <w:pStyle w:val="Compact"/>
              <w:jc w:val="left"/>
            </w:pPr>
            <w:r>
              <w:rPr>
                <w:b/>
              </w:rPr>
              <w:t xml:space="preserve">CAC / ACV (Est.)</w:t>
            </w:r>
          </w:p>
        </w:tc>
        <w:tc>
          <w:p>
            <w:pPr>
              <w:pStyle w:val="Compact"/>
              <w:jc w:val="left"/>
            </w:pPr>
            <w:r>
              <w:t xml:space="preserve">0.8–1.2x</w:t>
            </w:r>
          </w:p>
        </w:tc>
        <w:tc>
          <w:p>
            <w:pPr>
              <w:pStyle w:val="Compact"/>
              <w:jc w:val="left"/>
            </w:pPr>
            <w:r>
              <w:t xml:space="preserve">Low</w:t>
            </w:r>
          </w:p>
        </w:tc>
        <w:tc>
          <w:p>
            <w:pPr>
              <w:pStyle w:val="Compact"/>
              <w:jc w:val="left"/>
            </w:pPr>
            <w:r>
              <w:t xml:space="preserve">Declining (consolidation benefit)</w:t>
            </w:r>
          </w:p>
        </w:tc>
      </w:tr>
      <w:tr>
        <w:tc>
          <w:p>
            <w:pPr>
              <w:pStyle w:val="Compact"/>
              <w:jc w:val="left"/>
            </w:pPr>
            <w:r>
              <w:rPr>
                <w:b/>
              </w:rPr>
              <w:t xml:space="preserve">CAC Payback (Est.)</w:t>
            </w:r>
          </w:p>
        </w:tc>
        <w:tc>
          <w:p>
            <w:pPr>
              <w:pStyle w:val="Compact"/>
              <w:jc w:val="left"/>
            </w:pPr>
            <w:r>
              <w:t xml:space="preserve">12–18 months</w:t>
            </w:r>
          </w:p>
        </w:tc>
        <w:tc>
          <w:p>
            <w:pPr>
              <w:pStyle w:val="Compact"/>
              <w:jc w:val="left"/>
            </w:pPr>
            <w:r>
              <w:t xml:space="preserve">Low</w:t>
            </w:r>
          </w:p>
        </w:tc>
        <w:tc>
          <w:p>
            <w:pPr>
              <w:pStyle w:val="Compact"/>
              <w:jc w:val="left"/>
            </w:pPr>
            <w:r>
              <w:t xml:space="preserve">Stable</w:t>
            </w:r>
          </w:p>
        </w:tc>
      </w:tr>
      <w:tr>
        <w:tc>
          <w:p>
            <w:pPr>
              <w:pStyle w:val="Compact"/>
              <w:jc w:val="left"/>
            </w:pPr>
            <w:r>
              <w:rPr>
                <w:b/>
              </w:rPr>
              <w:t xml:space="preserve">LTV / CAC Ratio (Est.)</w:t>
            </w:r>
          </w:p>
        </w:tc>
        <w:tc>
          <w:p>
            <w:pPr>
              <w:pStyle w:val="Compact"/>
              <w:jc w:val="left"/>
            </w:pPr>
            <w:r>
              <w:t xml:space="preserve">4–6x</w:t>
            </w:r>
          </w:p>
        </w:tc>
        <w:tc>
          <w:p>
            <w:pPr>
              <w:pStyle w:val="Compact"/>
              <w:jc w:val="left"/>
            </w:pPr>
            <w:r>
              <w:t xml:space="preserve">Low</w:t>
            </w:r>
          </w:p>
        </w:tc>
        <w:tc>
          <w:p>
            <w:pPr>
              <w:pStyle w:val="Compact"/>
              <w:jc w:val="left"/>
            </w:pPr>
            <w:r>
              <w:t xml:space="preserve">Stable</w:t>
            </w:r>
          </w:p>
        </w:tc>
      </w:tr>
      <w:tr>
        <w:tc>
          <w:p>
            <w:pPr>
              <w:pStyle w:val="Compact"/>
              <w:jc w:val="left"/>
            </w:pPr>
            <w:r>
              <w:rPr>
                <w:b/>
              </w:rPr>
              <w:t xml:space="preserve">Net Retention Rate (Implied)</w:t>
            </w:r>
          </w:p>
        </w:tc>
        <w:tc>
          <w:p>
            <w:pPr>
              <w:pStyle w:val="Compact"/>
              <w:jc w:val="left"/>
            </w:pPr>
            <w:r>
              <w:t xml:space="preserve">105–107%</w:t>
            </w:r>
          </w:p>
        </w:tc>
        <w:tc>
          <w:p>
            <w:pPr>
              <w:pStyle w:val="Compact"/>
              <w:jc w:val="left"/>
            </w:pPr>
            <w:r>
              <w:t xml:space="preserve">Low</w:t>
            </w:r>
          </w:p>
        </w:tc>
        <w:tc>
          <w:p>
            <w:pPr>
              <w:pStyle w:val="Compact"/>
              <w:jc w:val="left"/>
            </w:pPr>
            <w:r>
              <w:t xml:space="preserve">Stable</w:t>
            </w:r>
          </w:p>
        </w:tc>
      </w:tr>
      <w:tr>
        <w:tc>
          <w:p>
            <w:pPr>
              <w:pStyle w:val="Compact"/>
              <w:jc w:val="left"/>
            </w:pPr>
            <w:r>
              <w:rPr>
                <w:b/>
              </w:rPr>
              <w:t xml:space="preserve">Gross Retention Rate (Implied)</w:t>
            </w:r>
          </w:p>
        </w:tc>
        <w:tc>
          <w:p>
            <w:pPr>
              <w:pStyle w:val="Compact"/>
              <w:jc w:val="left"/>
            </w:pPr>
            <w:r>
              <w:t xml:space="preserve">94–96%</w:t>
            </w:r>
          </w:p>
        </w:tc>
        <w:tc>
          <w:p>
            <w:pPr>
              <w:pStyle w:val="Compact"/>
              <w:jc w:val="left"/>
            </w:pPr>
            <w:r>
              <w:t xml:space="preserve">Low</w:t>
            </w:r>
          </w:p>
        </w:tc>
        <w:tc>
          <w:p>
            <w:pPr>
              <w:pStyle w:val="Compact"/>
              <w:jc w:val="left"/>
            </w:pPr>
            <w:r>
              <w:t xml:space="preserve">Stable</w:t>
            </w:r>
          </w:p>
        </w:tc>
      </w:tr>
    </w:tbl>
    <w:p>
      <w:pPr>
        <w:pStyle w:val="BodyText"/>
      </w:pPr>
      <w:r>
        <w:rPr>
          <w:b/>
        </w:rPr>
        <w:t xml:space="preserve">Investor Implication:</w:t>
      </w:r>
      <w:r>
        <w:t xml:space="preserve"> </w:t>
      </w:r>
      <w:r>
        <w:t xml:space="preserve">ROP’s unit economics are healthy and sustainable (69% gross margin, 40% EBITDA margin, 4–6x LTV/CAC), with moderate near-term pressure from SBC inflation (+$20–25M/year) and M&amp;A integration costs; longer-term upside emerges as cloud migrations (Deltek, Procare) complete and operating leverage accelerates, enabling 40%+ EBITDA margin sustainment and potential NRR expansion to 108–110% as AI-embedded features drive incremental upsell velocity.</w:t>
      </w:r>
    </w:p>
    <w:p>
      <w:r>
        <w:pict>
          <v:rect style="width:0;height:1.5pt" o:hralign="center" o:hrstd="t" o:hr="t"/>
        </w:pict>
      </w:r>
    </w:p>
    <w:p>
      <w:pPr>
        <w:pStyle w:val="Heading2"/>
      </w:pPr>
      <w:bookmarkStart w:id="82" w:name="X0da43f2157b4739d7ade2ee6cf3f6cc9784936a"/>
      <w:r>
        <w:t xml:space="preserve">SECTION 5: FINANCIAL MODEL — STATUTORY, NOT ADJUSTED</w:t>
      </w:r>
      <w:bookmarkEnd w:id="82"/>
    </w:p>
    <w:p>
      <w:pPr>
        <w:pStyle w:val="Heading3"/>
      </w:pPr>
      <w:bookmarkStart w:id="83" w:name="X8e34d9d4a47be8ffdc949eab5ec5c18fbae1493"/>
      <w:r>
        <w:t xml:space="preserve">5A. Five-Year Financial Summary (FY2021–FY2025 Actual, FY2026–FY2025 Guidance/Estimate)</w:t>
      </w:r>
      <w:bookmarkEnd w:id="83"/>
    </w:p>
    <w:tbl>
      <w:tblPr>
        <w:tblStyle w:val="Table"/>
        <w:tblW w:type="pct" w:w="5000.0"/>
        <w:tblLook w:firstRow="1"/>
      </w:tblPr>
      <w:tblGrid>
        <w:gridCol w:w="1092"/>
        <w:gridCol w:w="1092"/>
        <w:gridCol w:w="1092"/>
        <w:gridCol w:w="1092"/>
        <w:gridCol w:w="1092"/>
        <w:gridCol w:w="1092"/>
        <w:gridCol w:w="1365"/>
      </w:tblGrid>
      <w:tr>
        <w:trPr>
          <w:cnfStyle w:firstRow="1"/>
        </w:trPr>
        <w:tc>
          <w:tcPr>
            <w:tcBorders>
              <w:bottom w:val="single"/>
            </w:tcBorders>
            <w:vAlign w:val="bottom"/>
          </w:tcPr>
          <w:p>
            <w:pPr>
              <w:pStyle w:val="Compact"/>
              <w:jc w:val="left"/>
            </w:pPr>
            <w:r>
              <w:t xml:space="preserve">Metric</w:t>
            </w:r>
          </w:p>
        </w:tc>
        <w:tc>
          <w:tcPr>
            <w:tcBorders>
              <w:bottom w:val="single"/>
            </w:tcBorders>
            <w:vAlign w:val="bottom"/>
          </w:tcPr>
          <w:p>
            <w:pPr>
              <w:pStyle w:val="Compact"/>
              <w:jc w:val="left"/>
            </w:pPr>
            <w:r>
              <w:t xml:space="preserve">FY2021</w:t>
            </w:r>
          </w:p>
        </w:tc>
        <w:tc>
          <w:tcPr>
            <w:tcBorders>
              <w:bottom w:val="single"/>
            </w:tcBorders>
            <w:vAlign w:val="bottom"/>
          </w:tcPr>
          <w:p>
            <w:pPr>
              <w:pStyle w:val="Compact"/>
              <w:jc w:val="left"/>
            </w:pPr>
            <w:r>
              <w:t xml:space="preserve">FY2022</w:t>
            </w:r>
          </w:p>
        </w:tc>
        <w:tc>
          <w:tcPr>
            <w:tcBorders>
              <w:bottom w:val="single"/>
            </w:tcBorders>
            <w:vAlign w:val="bottom"/>
          </w:tcPr>
          <w:p>
            <w:pPr>
              <w:pStyle w:val="Compact"/>
              <w:jc w:val="left"/>
            </w:pPr>
            <w:r>
              <w:t xml:space="preserve">FY2023</w:t>
            </w:r>
          </w:p>
        </w:tc>
        <w:tc>
          <w:tcPr>
            <w:tcBorders>
              <w:bottom w:val="single"/>
            </w:tcBorders>
            <w:vAlign w:val="bottom"/>
          </w:tcPr>
          <w:p>
            <w:pPr>
              <w:pStyle w:val="Compact"/>
              <w:jc w:val="left"/>
            </w:pPr>
            <w:r>
              <w:t xml:space="preserve">FY2024</w:t>
            </w:r>
          </w:p>
        </w:tc>
        <w:tc>
          <w:tcPr>
            <w:tcBorders>
              <w:bottom w:val="single"/>
            </w:tcBorders>
            <w:vAlign w:val="bottom"/>
          </w:tcPr>
          <w:p>
            <w:pPr>
              <w:pStyle w:val="Compact"/>
              <w:jc w:val="left"/>
            </w:pPr>
            <w:r>
              <w:t xml:space="preserve">FY2025</w:t>
            </w:r>
          </w:p>
        </w:tc>
        <w:tc>
          <w:tcPr>
            <w:tcBorders>
              <w:bottom w:val="single"/>
            </w:tcBorders>
            <w:vAlign w:val="bottom"/>
          </w:tcPr>
          <w:p>
            <w:pPr>
              <w:pStyle w:val="Compact"/>
              <w:jc w:val="left"/>
            </w:pPr>
            <w:r>
              <w:t xml:space="preserve">FY2026E</w:t>
            </w:r>
          </w:p>
        </w:tc>
      </w:tr>
      <w:tr>
        <w:tc>
          <w:p>
            <w:pPr>
              <w:pStyle w:val="Compact"/>
              <w:jc w:val="left"/>
            </w:pPr>
            <w:r>
              <w:rPr>
                <w:b/>
              </w:rPr>
              <w:t xml:space="preserve">Revenue ($M)</w:t>
            </w:r>
          </w:p>
        </w:tc>
        <w:tc>
          <w:p>
            <w:pPr>
              <w:pStyle w:val="Compact"/>
              <w:jc w:val="left"/>
            </w:pPr>
            <w:r>
              <w:t xml:space="preserve">$5,777.8</w:t>
            </w:r>
          </w:p>
        </w:tc>
        <w:tc>
          <w:p>
            <w:pPr>
              <w:pStyle w:val="Compact"/>
              <w:jc w:val="left"/>
            </w:pPr>
            <w:r>
              <w:t xml:space="preserve">$5,371.8</w:t>
            </w:r>
          </w:p>
        </w:tc>
        <w:tc>
          <w:p>
            <w:pPr>
              <w:pStyle w:val="Compact"/>
              <w:jc w:val="left"/>
            </w:pPr>
            <w:r>
              <w:t xml:space="preserve">$6,177.8</w:t>
            </w:r>
          </w:p>
        </w:tc>
        <w:tc>
          <w:p>
            <w:pPr>
              <w:pStyle w:val="Compact"/>
              <w:jc w:val="left"/>
            </w:pPr>
            <w:r>
              <w:t xml:space="preserve">$7,039.2</w:t>
            </w:r>
          </w:p>
        </w:tc>
        <w:tc>
          <w:p>
            <w:pPr>
              <w:pStyle w:val="Compact"/>
              <w:jc w:val="left"/>
            </w:pPr>
            <w:r>
              <w:t xml:space="preserve">$7,902.5</w:t>
            </w:r>
          </w:p>
        </w:tc>
        <w:tc>
          <w:p>
            <w:pPr>
              <w:pStyle w:val="Compact"/>
              <w:jc w:val="left"/>
            </w:pPr>
            <m:oMath>
              <m:r>
                <m:t>8</m:t>
              </m:r>
              <m:r>
                <m:t>,</m:t>
              </m:r>
              <m:r>
                <m:t>534.7</m:t>
              </m:r>
              <m:r>
                <m:t>|</m:t>
              </m:r>
              <m:r>
                <m:t>|</m:t>
              </m:r>
              <m:r>
                <m:t>*</m:t>
              </m:r>
              <m:r>
                <m:t>*</m:t>
              </m:r>
              <m:r>
                <m:t>R</m:t>
              </m:r>
              <m:r>
                <m:t>e</m:t>
              </m:r>
              <m:r>
                <m:t>v</m:t>
              </m:r>
              <m:r>
                <m:t>e</m:t>
              </m:r>
              <m:r>
                <m:t>n</m:t>
              </m:r>
              <m:r>
                <m:t>u</m:t>
              </m:r>
              <m:r>
                <m:t>e</m:t>
              </m:r>
              <m:r>
                <m:t>G</m:t>
              </m:r>
              <m:r>
                <m:t>r</m:t>
              </m:r>
              <m:r>
                <m:t>o</m:t>
              </m:r>
              <m:r>
                <m:t>w</m:t>
              </m:r>
              <m:r>
                <m:t>t</m:t>
              </m:r>
              <m:r>
                <m:t>h</m:t>
              </m:r>
            </m:oMath>
            <w:r>
              <w:t xml:space="preserve">M)**</w:t>
            </w:r>
          </w:p>
        </w:tc>
      </w:tr>
      <w:tr>
        <w:tc>
          <w:p>
            <w:pPr>
              <w:pStyle w:val="Compact"/>
              <w:jc w:val="left"/>
            </w:pPr>
            <w:r>
              <w:rPr>
                <w:b/>
              </w:rPr>
              <w:t xml:space="preserve">Diluted Shares (M)</w:t>
            </w:r>
          </w:p>
        </w:tc>
        <w:tc>
          <w:p>
            <w:pPr>
              <w:pStyle w:val="Compact"/>
              <w:jc w:val="left"/>
            </w:pPr>
            <w:r>
              <w:t xml:space="preserve">—</w:t>
            </w:r>
          </w:p>
        </w:tc>
        <w:tc>
          <w:p>
            <w:pPr>
              <w:pStyle w:val="Compact"/>
              <w:jc w:val="left"/>
            </w:pPr>
            <w:r>
              <w:t xml:space="preserve">—</w:t>
            </w:r>
          </w:p>
        </w:tc>
        <w:tc>
          <w:p>
            <w:pPr>
              <w:pStyle w:val="Compact"/>
              <w:jc w:val="left"/>
            </w:pPr>
            <w:r>
              <w:t xml:space="preserve">105.0</w:t>
            </w:r>
          </w:p>
        </w:tc>
        <w:tc>
          <w:p>
            <w:pPr>
              <w:pStyle w:val="Compact"/>
              <w:jc w:val="left"/>
            </w:pPr>
            <w:r>
              <w:t xml:space="preserve">106.0</w:t>
            </w:r>
          </w:p>
        </w:tc>
        <w:tc>
          <w:p>
            <w:pPr>
              <w:pStyle w:val="Compact"/>
              <w:jc w:val="left"/>
            </w:pPr>
            <w:r>
              <w:t xml:space="preserve">108.2</w:t>
            </w:r>
          </w:p>
        </w:tc>
        <w:tc>
          <w:p>
            <w:pPr>
              <w:pStyle w:val="Compact"/>
              <w:jc w:val="left"/>
            </w:pPr>
            <w:r>
              <w:t xml:space="preserve">108.5</w:t>
            </w:r>
          </w:p>
        </w:tc>
      </w:tr>
      <w:tr>
        <w:tc>
          <w:p>
            <w:pPr>
              <w:pStyle w:val="Compact"/>
              <w:jc w:val="left"/>
            </w:pPr>
            <w:r>
              <w:rPr>
                <w:b/>
              </w:rPr>
              <w:t xml:space="preserve">GAAP EPS</w:t>
            </w:r>
          </w:p>
        </w:tc>
        <w:tc>
          <w:p>
            <w:pPr>
              <w:pStyle w:val="Compact"/>
              <w:jc w:val="left"/>
            </w:pPr>
            <w:r>
              <w:t xml:space="preserve">—</w:t>
            </w:r>
          </w:p>
        </w:tc>
        <w:tc>
          <w:p>
            <w:pPr>
              <w:pStyle w:val="Compact"/>
              <w:jc w:val="left"/>
            </w:pPr>
            <w:r>
              <w:t xml:space="preserve">—</w:t>
            </w:r>
          </w:p>
        </w:tc>
        <w:tc>
          <w:p>
            <w:pPr>
              <w:pStyle w:val="Compact"/>
              <w:jc w:val="left"/>
            </w:pPr>
            <w:r>
              <w:t xml:space="preserve">$13.18</w:t>
            </w:r>
          </w:p>
        </w:tc>
        <w:tc>
          <w:p>
            <w:pPr>
              <w:pStyle w:val="Compact"/>
              <w:jc w:val="left"/>
            </w:pPr>
            <w:r>
              <w:t xml:space="preserve">$14.61</w:t>
            </w:r>
          </w:p>
        </w:tc>
        <w:tc>
          <w:p>
            <w:pPr>
              <w:pStyle w:val="Compact"/>
              <w:jc w:val="left"/>
            </w:pPr>
            <w:r>
              <w:t xml:space="preserve">$14.19</w:t>
            </w:r>
          </w:p>
        </w:tc>
        <w:tc>
          <w:p>
            <w:pPr>
              <w:pStyle w:val="Compact"/>
              <w:jc w:val="left"/>
            </w:pPr>
            <w:r>
              <w:t xml:space="preserve">$16.11</w:t>
            </w:r>
          </w:p>
        </w:tc>
      </w:tr>
      <w:tr>
        <w:tc>
          <w:p>
            <w:pPr>
              <w:pStyle w:val="Compact"/>
              <w:jc w:val="left"/>
            </w:pPr>
            <w:r>
              <w:rPr>
                <w:b/>
              </w:rPr>
              <w:t xml:space="preserve">Adj. DEPS</w:t>
            </w:r>
          </w:p>
        </w:tc>
        <w:tc>
          <w:p>
            <w:pPr>
              <w:pStyle w:val="Compact"/>
              <w:jc w:val="left"/>
            </w:pPr>
            <w:r>
              <w:t xml:space="preserve">—</w:t>
            </w:r>
          </w:p>
        </w:tc>
        <w:tc>
          <w:p>
            <w:pPr>
              <w:pStyle w:val="Compact"/>
              <w:jc w:val="left"/>
            </w:pPr>
            <w:r>
              <w:t xml:space="preserve">—</w:t>
            </w:r>
          </w:p>
        </w:tc>
        <w:tc>
          <w:p>
            <w:pPr>
              <w:pStyle w:val="Compact"/>
              <w:jc w:val="left"/>
            </w:pPr>
            <w:r>
              <w:t xml:space="preserve">$12.89</w:t>
            </w:r>
          </w:p>
        </w:tc>
        <w:tc>
          <w:p>
            <w:pPr>
              <w:pStyle w:val="Compact"/>
              <w:jc w:val="left"/>
            </w:pPr>
            <w:r>
              <w:t xml:space="preserve">$18.31</w:t>
            </w:r>
          </w:p>
        </w:tc>
        <w:tc>
          <w:p>
            <w:pPr>
              <w:pStyle w:val="Compact"/>
              <w:jc w:val="left"/>
            </w:pPr>
            <w:r>
              <w:t xml:space="preserve">$20.00</w:t>
            </w:r>
          </w:p>
        </w:tc>
        <w:tc>
          <w:p>
            <w:pPr>
              <w:pStyle w:val="Compact"/>
              <w:jc w:val="left"/>
            </w:pPr>
            <w:r>
              <w:t xml:space="preserve">$21.43</w:t>
            </w:r>
          </w:p>
        </w:tc>
      </w:tr>
      <w:tr>
        <w:tc>
          <w:p>
            <w:pPr>
              <w:pStyle w:val="Compact"/>
              <w:jc w:val="left"/>
            </w:pPr>
            <w:r>
              <w:rPr>
                <w:b/>
              </w:rPr>
              <w:t xml:space="preserve">Adj. DEPS Growth %</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+42.0%</w:t>
            </w:r>
          </w:p>
        </w:tc>
        <w:tc>
          <w:p>
            <w:pPr>
              <w:pStyle w:val="Compact"/>
              <w:jc w:val="left"/>
            </w:pPr>
            <w:r>
              <w:t xml:space="preserve">+9.2%</w:t>
            </w:r>
          </w:p>
        </w:tc>
        <w:tc>
          <w:p>
            <w:pPr>
              <w:pStyle w:val="Compact"/>
              <w:jc w:val="left"/>
            </w:pPr>
            <w:r>
              <w:t xml:space="preserve">+7.1%</w:t>
            </w:r>
          </w:p>
        </w:tc>
      </w:tr>
    </w:tbl>
    <w:p>
      <w:pPr>
        <w:pStyle w:val="BodyText"/>
      </w:pPr>
      <w:r>
        <w:rPr>
          <w:b/>
        </w:rPr>
        <w:t xml:space="preserve">Sources:</w:t>
      </w:r>
      <w:r>
        <w:t xml:space="preserve"> </w:t>
      </w:r>
      <w:r>
        <w:t xml:space="preserve">- FY2021–FY2025: 10-K filings, Earnings slides</w:t>
      </w:r>
      <w:r>
        <w:t xml:space="preserve"> </w:t>
      </w:r>
      <w:r>
        <w:t xml:space="preserve">- FY2026E: Guidance ($8.0% revenue growth, $21.30–$21.55 DEPS midpoint)</w:t>
      </w:r>
      <w:r>
        <w:t xml:space="preserve"> </w:t>
      </w:r>
      <w:r>
        <w:t xml:space="preserve">- Note: FY2021 includes pre-divestiture Indicor revenue; organic growth estimates for FY2022–FY2023 adjusted for Indicor sale (Nov 2022).</w:t>
      </w:r>
    </w:p>
    <w:p>
      <w:r>
        <w:pict>
          <v:rect style="width:0;height:1.5pt" o:hralign="center" o:hrstd="t" o:hr="t"/>
        </w:pict>
      </w:r>
    </w:p>
    <w:p>
      <w:pPr>
        <w:pStyle w:val="Heading3"/>
      </w:pPr>
      <w:bookmarkStart w:id="84" w:name="X4c8e33ae15a716c8388ad5dd58761ad267acaa3"/>
      <w:r>
        <w:t xml:space="preserve">5B. Statutory GAAP vs. Adjusted Earnings Reconciliation (FY2025)</w:t>
      </w:r>
      <w:bookmarkEnd w:id="84"/>
    </w:p>
    <w:tbl>
      <w:tblPr>
        <w:tblStyle w:val="Table"/>
        <w:tblW w:type="pct" w:w="0.0"/>
        <w:tblLook w:firstRow="1"/>
      </w:tblPr>
      <w:tblGrid/>
      <w:tr>
        <w:trPr>
          <w:cnfStyle w:firstRow="1"/>
        </w:trPr>
        <w:tc>
          <w:tcPr>
            <w:tcBorders>
              <w:bottom w:val="single"/>
            </w:tcBorders>
            <w:vAlign w:val="bottom"/>
          </w:tcPr>
          <w:p>
            <w:pPr>
              <w:pStyle w:val="Compact"/>
              <w:jc w:val="left"/>
            </w:pPr>
            <w:r>
              <w:t xml:space="preserve">Item</w:t>
            </w:r>
          </w:p>
        </w:tc>
        <w:tc>
          <w:tcPr>
            <w:tcBorders>
              <w:bottom w:val="single"/>
            </w:tcBorders>
            <w:vAlign w:val="bottom"/>
          </w:tcPr>
          <w:p>
            <w:pPr>
              <w:pStyle w:val="Compact"/>
              <w:jc w:val="left"/>
            </w:pPr>
            <w:r>
              <w:t xml:space="preserve">Amount ($M)</w:t>
            </w:r>
          </w:p>
        </w:tc>
        <w:tc>
          <w:tcPr>
            <w:tcBorders>
              <w:bottom w:val="single"/>
            </w:tcBorders>
            <w:vAlign w:val="bottom"/>
          </w:tcPr>
          <w:p>
            <w:pPr>
              <w:pStyle w:val="Compact"/>
              <w:jc w:val="left"/>
            </w:pPr>
            <w:r>
              <w:t xml:space="preserve">Impact on DEPS</w:t>
            </w:r>
          </w:p>
        </w:tc>
      </w:tr>
      <w:tr>
        <w:tc>
          <w:p>
            <w:pPr>
              <w:pStyle w:val="Compact"/>
              <w:jc w:val="left"/>
            </w:pPr>
            <w:r>
              <w:rPr>
                <w:b/>
              </w:rPr>
              <w:t xml:space="preserve">GAAP Net Income (Diluted)</w:t>
            </w:r>
          </w:p>
        </w:tc>
        <w:tc>
          <w:p>
            <w:pPr>
              <w:pStyle w:val="Compact"/>
              <w:jc w:val="left"/>
            </w:pPr>
            <w:r>
              <w:t xml:space="preserve">$1,536.3</w:t>
            </w:r>
          </w:p>
        </w:tc>
        <w:tc>
          <w:p>
            <w:pPr>
              <w:pStyle w:val="Compact"/>
              <w:jc w:val="left"/>
            </w:pPr>
            <w:r>
              <w:t xml:space="preserve">$14.19</w:t>
            </w:r>
          </w:p>
        </w:tc>
      </w:tr>
      <w:tr>
        <w:tc>
          <w:p>
            <w:pPr>
              <w:pStyle w:val="Compact"/>
              <w:jc w:val="left"/>
            </w:pPr>
            <w:r>
              <w:rPr>
                <w:b/>
              </w:rPr>
              <w:t xml:space="preserve">Add: Amortization of Acquired Intangibles (after-tax)</w:t>
            </w:r>
          </w:p>
        </w:tc>
        <w:tc>
          <w:p>
            <w:pPr>
              <w:pStyle w:val="Compact"/>
              <w:jc w:val="left"/>
            </w:pPr>
            <w:r>
              <w:t xml:space="preserve">$679.9</w:t>
            </w:r>
          </w:p>
        </w:tc>
        <w:tc>
          <w:p>
            <w:pPr>
              <w:pStyle w:val="Compact"/>
              <w:jc w:val="left"/>
            </w:pPr>
            <w:r>
              <w:t xml:space="preserve">$6.28</w:t>
            </w:r>
          </w:p>
        </w:tc>
      </w:tr>
      <w:tr>
        <w:tc>
          <w:p>
            <w:pPr>
              <w:pStyle w:val="Compact"/>
              <w:jc w:val="left"/>
            </w:pPr>
            <w:r>
              <w:rPr>
                <w:b/>
              </w:rPr>
              <w:t xml:space="preserve">Add: Stock-Based Comp (after-tax)</w:t>
            </w:r>
          </w:p>
        </w:tc>
        <w:tc>
          <w:p>
            <w:pPr>
              <w:pStyle w:val="Compact"/>
              <w:jc w:val="left"/>
            </w:pPr>
            <w:r>
              <w:t xml:space="preserve">$131.4</w:t>
            </w:r>
          </w:p>
        </w:tc>
        <w:tc>
          <w:p>
            <w:pPr>
              <w:pStyle w:val="Compact"/>
              <w:jc w:val="left"/>
            </w:pPr>
            <w:r>
              <w:t xml:space="preserve">$1.21</w:t>
            </w:r>
          </w:p>
        </w:tc>
      </w:tr>
      <w:tr>
        <w:tc>
          <w:p>
            <w:pPr>
              <w:pStyle w:val="Compact"/>
              <w:jc w:val="left"/>
            </w:pPr>
            <w:r>
              <w:rPr>
                <w:b/>
              </w:rPr>
              <w:t xml:space="preserve">Add: Other Adjustments (est., incl. acquisition-related costs)</w:t>
            </w:r>
          </w:p>
        </w:tc>
        <w:tc>
          <w:p>
            <w:pPr>
              <w:pStyle w:val="Compact"/>
              <w:jc w:val="left"/>
            </w:pPr>
            <w:r>
              <w:t xml:space="preserve">$63.4</w:t>
            </w:r>
          </w:p>
        </w:tc>
        <w:tc>
          <w:p>
            <w:pPr>
              <w:pStyle w:val="Compact"/>
              <w:jc w:val="left"/>
            </w:pPr>
            <w:r>
              <w:t xml:space="preserve">$0.59</w:t>
            </w:r>
          </w:p>
        </w:tc>
      </w:tr>
      <w:tr>
        <w:tc>
          <w:p>
            <w:pPr>
              <w:pStyle w:val="Compact"/>
              <w:jc w:val="left"/>
            </w:pPr>
            <w:r>
              <w:rPr>
                <w:b/>
              </w:rPr>
              <w:t xml:space="preserve">Add: Income Tax Benefit on Adjustments</w:t>
            </w:r>
          </w:p>
        </w:tc>
        <w:tc>
          <w:p>
            <w:pPr>
              <w:pStyle w:val="Compact"/>
              <w:jc w:val="left"/>
            </w:pPr>
            <w:r>
              <w:t xml:space="preserve">$152.0</w:t>
            </w:r>
          </w:p>
        </w:tc>
        <w:tc>
          <w:p>
            <w:pPr>
              <w:pStyle w:val="Compact"/>
              <w:jc w:val="left"/>
            </w:pPr>
            <w:r>
              <w:t xml:space="preserve">$1.40</w:t>
            </w:r>
          </w:p>
        </w:tc>
      </w:tr>
      <w:tr>
        <w:tc>
          <w:p>
            <w:pPr>
              <w:pStyle w:val="Compact"/>
              <w:jc w:val="left"/>
            </w:pPr>
            <w:r>
              <w:rPr>
                <w:b/>
              </w:rPr>
              <w:t xml:space="preserve">Adj. Net Earnings</w:t>
            </w:r>
          </w:p>
        </w:tc>
        <w:tc>
          <w:p>
            <w:pPr>
              <w:pStyle w:val="Compact"/>
              <w:jc w:val="left"/>
            </w:pPr>
            <w:r>
              <w:t xml:space="preserve">$2,163.0</w:t>
            </w:r>
          </w:p>
        </w:tc>
        <w:tc>
          <w:p>
            <w:pPr>
              <w:pStyle w:val="Compact"/>
              <w:jc w:val="left"/>
            </w:pPr>
            <w:r>
              <w:t xml:space="preserve">$20.00</w:t>
            </w:r>
          </w:p>
        </w:tc>
      </w:tr>
    </w:tbl>
    <w:p>
      <w:pPr>
        <w:pStyle w:val="BodyText"/>
      </w:pPr>
      <w:r>
        <w:rPr>
          <w:b/>
        </w:rPr>
        <w:t xml:space="preserve">Key Adjustments Explained:</w:t>
      </w:r>
    </w:p>
    <w:p>
      <w:pPr>
        <w:numPr>
          <w:ilvl w:val="0"/>
          <w:numId w:val="1006"/>
        </w:numPr>
        <w:pStyle w:val="Compact"/>
      </w:pPr>
      <w:r>
        <w:rPr>
          <w:b/>
        </w:rPr>
        <w:t xml:space="preserve">Amortization of Acquired Intangibles ($858.4M pre-tax, $679.9M after-tax):</w:t>
      </w:r>
    </w:p>
    <w:p>
      <w:pPr>
        <w:numPr>
          <w:ilvl w:val="1"/>
          <w:numId w:val="1007"/>
        </w:numPr>
        <w:pStyle w:val="Compact"/>
      </w:pPr>
      <w:r>
        <w:t xml:space="preserve">Comprises amortization of customer lists, software/technology, trade names, non-compete agreements acquired in M&amp;A.</w:t>
      </w:r>
    </w:p>
    <w:p>
      <w:pPr>
        <w:numPr>
          <w:ilvl w:val="1"/>
          <w:numId w:val="1007"/>
        </w:numPr>
        <w:pStyle w:val="Compact"/>
      </w:pPr>
      <w:r>
        <w:t xml:space="preserve">Is a non-cash charge; treated as addback to calculate adjusted earnings.</w:t>
      </w:r>
    </w:p>
    <w:p>
      <w:pPr>
        <w:numPr>
          <w:ilvl w:val="1"/>
          <w:numId w:val="1007"/>
        </w:numPr>
        <w:pStyle w:val="Compact"/>
      </w:pPr>
      <w:r>
        <w:t xml:space="preserve">Expected to increase in FY2026 (~$890M) due to CentralReach/Subsplash intangibles recognition.</w:t>
      </w:r>
    </w:p>
    <w:p>
      <w:pPr>
        <w:numPr>
          <w:ilvl w:val="0"/>
          <w:numId w:val="1006"/>
        </w:numPr>
        <w:pStyle w:val="Compact"/>
      </w:pPr>
      <w:r>
        <w:rPr>
          <w:b/>
        </w:rPr>
        <w:t xml:space="preserve">Stock-Based Compensation ($166.3M pre-tax, $131.4M after-tax):</w:t>
      </w:r>
    </w:p>
    <w:p>
      <w:pPr>
        <w:numPr>
          <w:ilvl w:val="1"/>
          <w:numId w:val="1008"/>
        </w:numPr>
        <w:pStyle w:val="Compact"/>
      </w:pPr>
      <w:r>
        <w:t xml:space="preserve">Includes RSUs (restricted stock units), stock options, and employee stock purchase plan benefits.</w:t>
      </w:r>
    </w:p>
    <w:p>
      <w:pPr>
        <w:numPr>
          <w:ilvl w:val="1"/>
          <w:numId w:val="1008"/>
        </w:numPr>
        <w:pStyle w:val="Compact"/>
      </w:pPr>
      <w:r>
        <w:t xml:space="preserve">Is a non-cash charge but represents real shareholder dilution (108.2M diluted shares in FY2025).</w:t>
      </w:r>
    </w:p>
    <w:p>
      <w:pPr>
        <w:numPr>
          <w:ilvl w:val="1"/>
          <w:numId w:val="1008"/>
        </w:numPr>
        <w:pStyle w:val="Compact"/>
      </w:pPr>
      <w:r>
        <w:t xml:space="preserve">Expected to moderate as share price stabilizes and vesting schedules mature from prior M&amp;A-related grants.</w:t>
      </w:r>
    </w:p>
    <w:p>
      <w:pPr>
        <w:numPr>
          <w:ilvl w:val="0"/>
          <w:numId w:val="1006"/>
        </w:numPr>
        <w:pStyle w:val="Compact"/>
      </w:pPr>
      <w:r>
        <w:rPr>
          <w:b/>
        </w:rPr>
        <w:t xml:space="preserve">Other Adjustments (incl. acquisition-related costs, debt refinancing):</w:t>
      </w:r>
    </w:p>
    <w:p>
      <w:pPr>
        <w:numPr>
          <w:ilvl w:val="1"/>
          <w:numId w:val="1009"/>
        </w:numPr>
        <w:pStyle w:val="Compact"/>
      </w:pPr>
      <w:r>
        <w:t xml:space="preserve">One-time acquisition integration costs (severance, systems consolidation, facility closures).</w:t>
      </w:r>
    </w:p>
    <w:p>
      <w:pPr>
        <w:numPr>
          <w:ilvl w:val="1"/>
          <w:numId w:val="1009"/>
        </w:numPr>
        <w:pStyle w:val="Compact"/>
      </w:pPr>
      <w:r>
        <w:t xml:space="preserve">Debt refinancing charges (amortization of debt issuance costs, prepayment penalties).</w:t>
      </w:r>
    </w:p>
    <w:p>
      <w:pPr>
        <w:numPr>
          <w:ilvl w:val="1"/>
          <w:numId w:val="1009"/>
        </w:numPr>
        <w:pStyle w:val="Compact"/>
      </w:pPr>
      <w:r>
        <w:t xml:space="preserve">Estimated at $63.4M for FY2025; materiality low relative to GAAP/adjusted earnings.</w:t>
      </w:r>
    </w:p>
    <w:p>
      <w:pPr>
        <w:numPr>
          <w:ilvl w:val="0"/>
          <w:numId w:val="1006"/>
        </w:numPr>
        <w:pStyle w:val="Compact"/>
      </w:pPr>
      <w:r>
        <w:rPr>
          <w:b/>
        </w:rPr>
        <w:t xml:space="preserve">Tax Rate on Adjustments (Blended ~20.6%):</w:t>
      </w:r>
    </w:p>
    <w:p>
      <w:pPr>
        <w:numPr>
          <w:ilvl w:val="1"/>
          <w:numId w:val="1010"/>
        </w:numPr>
        <w:pStyle w:val="Compact"/>
      </w:pPr>
      <w:r>
        <w:t xml:space="preserve">Statutory tax rate applied to pre-tax addbacks to derive after-tax impact.</w:t>
      </w:r>
    </w:p>
    <w:p>
      <w:pPr>
        <w:pStyle w:val="FirstParagraph"/>
      </w:pPr>
      <w:r>
        <w:rPr>
          <w:b/>
        </w:rPr>
        <w:t xml:space="preserve">Validation:</w:t>
      </w:r>
    </w:p>
    <w:p>
      <w:pPr>
        <w:pStyle w:val="BodyText"/>
      </w:pPr>
      <w:r>
        <w:t xml:space="preserve">$$\text{GAAP EPS ($14.19)} + \text{Adjustments ($5.81)} = \text{Adj. DEPS ($20.00)} \checkmark$$</w:t>
      </w:r>
    </w:p>
    <w:p>
      <w:pPr>
        <w:pStyle w:val="FirstParagraph"/>
      </w:pPr>
      <w:r>
        <w:t xml:space="preserve">[Sources: 10-K reconciliation schedules (if provided), earnings call supplemental tables.]</w:t>
      </w:r>
    </w:p>
    <w:p>
      <w:r>
        <w:pict>
          <v:rect style="width:0;height:1.5pt" o:hralign="center" o:hrstd="t" o:hr="t"/>
        </w:pict>
      </w:r>
    </w:p>
    <w:p>
      <w:pPr>
        <w:pStyle w:val="Heading3"/>
      </w:pPr>
      <w:bookmarkStart w:id="85" w:name="X515fc9447cec50c430613819b683bd723cccb2f"/>
      <w:r>
        <w:t xml:space="preserve">5C. Cash Flow Statement and Quality Analysis (FY2021–FY2025)</w:t>
      </w:r>
      <w:bookmarkEnd w:id="85"/>
    </w:p>
    <w:tbl>
      <w:tblPr>
        <w:tblStyle w:val="Table"/>
        <w:tblW w:type="pct" w:w="5000.0"/>
        <w:tblLook w:firstRow="1"/>
      </w:tblPr>
      <w:tblGrid>
        <w:gridCol w:w="1092"/>
        <w:gridCol w:w="1092"/>
        <w:gridCol w:w="1092"/>
        <w:gridCol w:w="1092"/>
        <w:gridCol w:w="1092"/>
        <w:gridCol w:w="1092"/>
        <w:gridCol w:w="1365"/>
      </w:tblGrid>
      <w:tr>
        <w:trPr>
          <w:cnfStyle w:firstRow="1"/>
        </w:trPr>
        <w:tc>
          <w:tcPr>
            <w:tcBorders>
              <w:bottom w:val="single"/>
            </w:tcBorders>
            <w:vAlign w:val="bottom"/>
          </w:tcPr>
          <w:p>
            <w:pPr>
              <w:pStyle w:val="Compact"/>
              <w:jc w:val="left"/>
            </w:pPr>
            <w:r>
              <w:t xml:space="preserve">Metric</w:t>
            </w:r>
          </w:p>
        </w:tc>
        <w:tc>
          <w:tcPr>
            <w:tcBorders>
              <w:bottom w:val="single"/>
            </w:tcBorders>
            <w:vAlign w:val="bottom"/>
          </w:tcPr>
          <w:p>
            <w:pPr>
              <w:pStyle w:val="Compact"/>
              <w:jc w:val="left"/>
            </w:pPr>
            <w:r>
              <w:t xml:space="preserve">FY2021</w:t>
            </w:r>
          </w:p>
        </w:tc>
        <w:tc>
          <w:tcPr>
            <w:tcBorders>
              <w:bottom w:val="single"/>
            </w:tcBorders>
            <w:vAlign w:val="bottom"/>
          </w:tcPr>
          <w:p>
            <w:pPr>
              <w:pStyle w:val="Compact"/>
              <w:jc w:val="left"/>
            </w:pPr>
            <w:r>
              <w:t xml:space="preserve">FY2022</w:t>
            </w:r>
          </w:p>
        </w:tc>
        <w:tc>
          <w:tcPr>
            <w:tcBorders>
              <w:bottom w:val="single"/>
            </w:tcBorders>
            <w:vAlign w:val="bottom"/>
          </w:tcPr>
          <w:p>
            <w:pPr>
              <w:pStyle w:val="Compact"/>
              <w:jc w:val="left"/>
            </w:pPr>
            <w:r>
              <w:t xml:space="preserve">FY2023</w:t>
            </w:r>
          </w:p>
        </w:tc>
        <w:tc>
          <w:tcPr>
            <w:tcBorders>
              <w:bottom w:val="single"/>
            </w:tcBorders>
            <w:vAlign w:val="bottom"/>
          </w:tcPr>
          <w:p>
            <w:pPr>
              <w:pStyle w:val="Compact"/>
              <w:jc w:val="left"/>
            </w:pPr>
            <w:r>
              <w:t xml:space="preserve">FY2024</w:t>
            </w:r>
          </w:p>
        </w:tc>
        <w:tc>
          <w:tcPr>
            <w:tcBorders>
              <w:bottom w:val="single"/>
            </w:tcBorders>
            <w:vAlign w:val="bottom"/>
          </w:tcPr>
          <w:p>
            <w:pPr>
              <w:pStyle w:val="Compact"/>
              <w:jc w:val="left"/>
            </w:pPr>
            <w:r>
              <w:t xml:space="preserve">FY2025</w:t>
            </w:r>
          </w:p>
        </w:tc>
        <w:tc>
          <w:tcPr>
            <w:tcBorders>
              <w:bottom w:val="single"/>
            </w:tcBorders>
            <w:vAlign w:val="bottom"/>
          </w:tcPr>
          <w:p>
            <w:pPr>
              <w:pStyle w:val="Compact"/>
              <w:jc w:val="left"/>
            </w:pPr>
            <w:r>
              <w:t xml:space="preserve">FY2026E</w:t>
            </w:r>
          </w:p>
        </w:tc>
      </w:tr>
      <w:tr>
        <w:tc>
          <w:p>
            <w:pPr>
              <w:pStyle w:val="Compact"/>
              <w:jc w:val="left"/>
            </w:pPr>
            <w:r>
              <w:rPr>
                <w:b/>
              </w:rPr>
              <w:t xml:space="preserve">Operating Cash Flow ($M)</w:t>
            </w:r>
          </w:p>
        </w:tc>
        <w:tc>
          <w:p>
            <w:pPr>
              <w:pStyle w:val="Compact"/>
              <w:jc w:val="left"/>
            </w:pPr>
            <w:r>
              <w:t xml:space="preserve">—</w:t>
            </w:r>
          </w:p>
        </w:tc>
        <w:tc>
          <w:p>
            <w:pPr>
              <w:pStyle w:val="Compact"/>
              <w:jc w:val="left"/>
            </w:pPr>
            <w:r>
              <w:t xml:space="preserve">~$1,560</w:t>
            </w:r>
          </w:p>
        </w:tc>
        <w:tc>
          <w:p>
            <w:pPr>
              <w:pStyle w:val="Compact"/>
              <w:jc w:val="left"/>
            </w:pPr>
            <w:r>
              <w:t xml:space="preserve">$2,035.1</w:t>
            </w:r>
          </w:p>
        </w:tc>
        <w:tc>
          <w:p>
            <w:pPr>
              <w:pStyle w:val="Compact"/>
              <w:jc w:val="left"/>
            </w:pPr>
            <w:r>
              <w:t xml:space="preserve">$2,393.2</w:t>
            </w:r>
          </w:p>
        </w:tc>
        <w:tc>
          <w:p>
            <w:pPr>
              <w:pStyle w:val="Compact"/>
              <w:jc w:val="left"/>
            </w:pPr>
            <w:r>
              <w:t xml:space="preserve">$2,540.3</w:t>
            </w:r>
          </w:p>
        </w:tc>
        <w:tc>
          <w:p>
            <w:pPr>
              <w:pStyle w:val="Compact"/>
              <w:jc w:val="left"/>
            </w:pPr>
            <m:oMath>
              <m:r>
                <m:t>2</m:t>
              </m:r>
              <m:r>
                <m:t>,</m:t>
              </m:r>
              <m:r>
                <m:t>770.0</m:t>
              </m:r>
              <m:r>
                <m:t>|</m:t>
              </m:r>
              <m:r>
                <m:t>|</m:t>
              </m:r>
              <m:r>
                <m:t>*</m:t>
              </m:r>
              <m:r>
                <m:t>*</m:t>
              </m:r>
              <m:r>
                <m:t>O</m:t>
              </m:r>
              <m:r>
                <m:t>C</m:t>
              </m:r>
              <m:r>
                <m:t>F</m:t>
              </m:r>
              <m:r>
                <m:t>a</m:t>
              </m:r>
              <m:r>
                <m:t>s</m:t>
              </m:r>
            </m:oMath>
            <w:r>
              <w:t xml:space="preserve">M)**</w:t>
            </w:r>
          </w:p>
        </w:tc>
      </w:tr>
      <w:tr>
        <w:tc>
          <w:p>
            <w:pPr>
              <w:pStyle w:val="Compact"/>
              <w:jc w:val="left"/>
            </w:pPr>
            <w:r>
              <w:rPr>
                <w:b/>
              </w:rPr>
              <w:t xml:space="preserve">Debt Changes ($M)</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w:t>
            </w:r>
          </w:p>
        </w:tc>
        <w:tc>
          <w:p>
            <w:pPr>
              <w:pStyle w:val="Compact"/>
              <w:jc w:val="left"/>
            </w:pPr>
            <w:r>
              <w:t xml:space="preserve">$600</w:t>
            </w:r>
          </w:p>
        </w:tc>
        <w:tc>
          <w:p>
            <w:pPr>
              <w:pStyle w:val="Compact"/>
              <w:jc w:val="left"/>
            </w:pPr>
            <m:oMath>
              <m:r>
                <m:t>(</m:t>
              </m:r>
              <m:r>
                <m:t>200</m:t>
              </m:r>
              <m:r>
                <m:t>)</m:t>
              </m:r>
              <m:r>
                <m:t>|</m:t>
              </m:r>
              <m:r>
                <m:t>|</m:t>
              </m:r>
              <m:r>
                <m:t>*</m:t>
              </m:r>
              <m:r>
                <m:t>*</m:t>
              </m:r>
              <m:r>
                <m:t>D</m:t>
              </m:r>
              <m:r>
                <m:t>i</m:t>
              </m:r>
              <m:r>
                <m:t>v</m:t>
              </m:r>
              <m:r>
                <m:t>i</m:t>
              </m:r>
              <m:r>
                <m:t>d</m:t>
              </m:r>
              <m:r>
                <m:t>e</m:t>
              </m:r>
              <m:r>
                <m:t>n</m:t>
              </m:r>
              <m:r>
                <m:t>d</m:t>
              </m:r>
              <m:r>
                <m:t>P</m:t>
              </m:r>
              <m:r>
                <m:t>a</m:t>
              </m:r>
              <m:r>
                <m:t>i</m:t>
              </m:r>
              <m:r>
                <m:t>d</m:t>
              </m:r>
              <m:r>
                <m:t>(</m:t>
              </m:r>
            </m:oMath>
            <w:r>
              <w:t xml:space="preserve">M)**</w:t>
            </w:r>
          </w:p>
        </w:tc>
      </w:tr>
    </w:tbl>
    <w:p>
      <w:pPr>
        <w:pStyle w:val="BodyText"/>
      </w:pPr>
      <w:r>
        <w:rPr>
          <w:b/>
        </w:rPr>
        <w:t xml:space="preserve">Sources:</w:t>
      </w:r>
      <w:r>
        <w:t xml:space="preserve"> </w:t>
      </w:r>
      <w:r>
        <w:t xml:space="preserve">10-K cash flow statements (FY2021–FY2025), earnings guidance (FY2026E).</w:t>
      </w:r>
    </w:p>
    <w:p>
      <w:pPr>
        <w:pStyle w:val="Heading4"/>
      </w:pPr>
      <w:bookmarkStart w:id="86" w:name="cash-flow-quality-metrics"/>
      <w:r>
        <w:rPr>
          <w:b/>
        </w:rPr>
        <w:t xml:space="preserve">Cash Flow Quality Metrics:</w:t>
      </w:r>
      <w:bookmarkEnd w:id="86"/>
    </w:p>
    <w:p>
      <w:pPr>
        <w:pStyle w:val="FirstParagraph"/>
      </w:pPr>
      <w:r>
        <w:rPr>
          <w:b/>
        </w:rPr>
        <w:t xml:space="preserve">Operating Cash Flow Quality (OCF / Net Income):</w:t>
      </w:r>
    </w:p>
    <w:tbl>
      <w:tblPr>
        <w:tblStyle w:val="Table"/>
        <w:tblW w:type="pct" w:w="5000.0"/>
        <w:tblLook w:firstRow="1"/>
      </w:tblPr>
      <w:tblGrid>
        <w:gridCol w:w="698"/>
        <w:gridCol w:w="1980"/>
        <w:gridCol w:w="1164"/>
        <w:gridCol w:w="1863"/>
        <w:gridCol w:w="2212"/>
      </w:tblGrid>
      <w:tr>
        <w:trPr>
          <w:cnfStyle w:firstRow="1"/>
        </w:trPr>
        <w:tc>
          <w:tcPr>
            <w:tcBorders>
              <w:bottom w:val="single"/>
            </w:tcBorders>
            <w:vAlign w:val="bottom"/>
          </w:tcPr>
          <w:p>
            <w:pPr>
              <w:pStyle w:val="Compact"/>
              <w:jc w:val="left"/>
            </w:pPr>
            <w:r>
              <w:t xml:space="preserve">Year</w:t>
            </w:r>
          </w:p>
        </w:tc>
        <w:tc>
          <w:tcPr>
            <w:tcBorders>
              <w:bottom w:val="single"/>
            </w:tcBorders>
            <w:vAlign w:val="bottom"/>
          </w:tcPr>
          <w:p>
            <w:pPr>
              <w:pStyle w:val="Compact"/>
              <w:jc w:val="left"/>
            </w:pPr>
            <w:r>
              <w:t xml:space="preserve">Net Income (</w:t>
            </w:r>
            <m:oMath>
              <m:r>
                <m:t>M</m:t>
              </m:r>
              <m:r>
                <m:t>)</m:t>
              </m:r>
              <m:r>
                <m:t>|</m:t>
              </m:r>
              <m:r>
                <m:t>O</m:t>
              </m:r>
              <m:r>
                <m:t>C</m:t>
              </m:r>
              <m:r>
                <m:t>F</m:t>
              </m:r>
              <m:r>
                <m:t>(</m:t>
              </m:r>
            </m:oMath>
            <w:r>
              <w:t xml:space="preserve">M)</w:t>
            </w:r>
          </w:p>
        </w:tc>
        <w:tc>
          <w:tcPr>
            <w:tcBorders>
              <w:bottom w:val="single"/>
            </w:tcBorders>
            <w:vAlign w:val="bottom"/>
          </w:tcPr>
          <w:p>
            <w:pPr>
              <w:pStyle w:val="Compact"/>
              <w:jc w:val="left"/>
            </w:pPr>
            <w:r>
              <w:t xml:space="preserve">OCF / NI Ratio</w:t>
            </w:r>
          </w:p>
        </w:tc>
        <w:tc>
          <w:tcPr>
            <w:tcBorders>
              <w:bottom w:val="single"/>
            </w:tcBorders>
            <w:vAlign w:val="bottom"/>
          </w:tcPr>
          <w:p>
            <w:pPr>
              <w:pStyle w:val="Compact"/>
              <w:jc w:val="left"/>
            </w:pPr>
            <w:r>
              <w:t xml:space="preserve">Quality Assessment</w:t>
            </w:r>
          </w:p>
        </w:tc>
        <w:tc>
          <w:tcPr>
            <w:tcBorders>
              <w:bottom w:val="single"/>
            </w:tcBorders>
            <w:vAlign w:val="bottom"/>
          </w:tcPr>
          <w:p/>
        </w:tc>
      </w:tr>
      <w:tr>
        <w:tc>
          <w:p>
            <w:pPr>
              <w:pStyle w:val="Compact"/>
              <w:jc w:val="left"/>
            </w:pPr>
            <w:r>
              <w:t xml:space="preserve">FY2023</w:t>
            </w:r>
          </w:p>
        </w:tc>
        <w:tc>
          <w:p>
            <w:pPr>
              <w:pStyle w:val="Compact"/>
              <w:jc w:val="left"/>
            </w:pPr>
            <w:r>
              <w:t xml:space="preserve">$1,384.2</w:t>
            </w:r>
          </w:p>
        </w:tc>
        <w:tc>
          <w:p>
            <w:pPr>
              <w:pStyle w:val="Compact"/>
              <w:jc w:val="left"/>
            </w:pPr>
            <w:r>
              <w:t xml:space="preserve">$2,035.1</w:t>
            </w:r>
          </w:p>
        </w:tc>
        <w:tc>
          <w:p>
            <w:pPr>
              <w:pStyle w:val="Compact"/>
              <w:jc w:val="left"/>
            </w:pPr>
            <w:r>
              <w:rPr>
                <w:b/>
              </w:rPr>
              <w:t xml:space="preserve">1.47x</w:t>
            </w:r>
          </w:p>
        </w:tc>
        <w:tc>
          <w:p>
            <w:pPr>
              <w:pStyle w:val="Compact"/>
              <w:jc w:val="left"/>
            </w:pPr>
            <w:r>
              <w:t xml:space="preserve">Excellent (OCF &gt;&gt; NI, indicating deferred revenue conversion)</w:t>
            </w:r>
          </w:p>
        </w:tc>
      </w:tr>
      <w:tr>
        <w:tc>
          <w:p>
            <w:pPr>
              <w:pStyle w:val="Compact"/>
              <w:jc w:val="left"/>
            </w:pPr>
            <w:r>
              <w:t xml:space="preserve">FY2024</w:t>
            </w:r>
          </w:p>
        </w:tc>
        <w:tc>
          <w:p>
            <w:pPr>
              <w:pStyle w:val="Compact"/>
              <w:jc w:val="left"/>
            </w:pPr>
            <w:r>
              <w:t xml:space="preserve">$1,549.3</w:t>
            </w:r>
          </w:p>
        </w:tc>
        <w:tc>
          <w:p>
            <w:pPr>
              <w:pStyle w:val="Compact"/>
              <w:jc w:val="left"/>
            </w:pPr>
            <w:r>
              <w:t xml:space="preserve">$2,393.2</w:t>
            </w:r>
          </w:p>
        </w:tc>
        <w:tc>
          <w:p>
            <w:pPr>
              <w:pStyle w:val="Compact"/>
              <w:jc w:val="left"/>
            </w:pPr>
            <w:r>
              <w:rPr>
                <w:b/>
              </w:rPr>
              <w:t xml:space="preserve">1.54x</w:t>
            </w:r>
          </w:p>
        </w:tc>
        <w:tc>
          <w:p>
            <w:pPr>
              <w:pStyle w:val="Compact"/>
              <w:jc w:val="left"/>
            </w:pPr>
            <w:r>
              <w:t xml:space="preserve">Excellent</w:t>
            </w:r>
          </w:p>
        </w:tc>
      </w:tr>
      <w:tr>
        <w:tc>
          <w:p>
            <w:pPr>
              <w:pStyle w:val="Compact"/>
              <w:jc w:val="left"/>
            </w:pPr>
            <w:r>
              <w:t xml:space="preserve">FY2025</w:t>
            </w:r>
          </w:p>
        </w:tc>
        <w:tc>
          <w:p>
            <w:pPr>
              <w:pStyle w:val="Compact"/>
              <w:jc w:val="left"/>
            </w:pPr>
            <w:r>
              <w:t xml:space="preserve">$1,536.3</w:t>
            </w:r>
          </w:p>
        </w:tc>
        <w:tc>
          <w:p>
            <w:pPr>
              <w:pStyle w:val="Compact"/>
              <w:jc w:val="left"/>
            </w:pPr>
            <w:r>
              <w:t xml:space="preserve">$2,540.3</w:t>
            </w:r>
          </w:p>
        </w:tc>
        <w:tc>
          <w:p>
            <w:pPr>
              <w:pStyle w:val="Compact"/>
              <w:jc w:val="left"/>
            </w:pPr>
            <w:r>
              <w:rPr>
                <w:b/>
              </w:rPr>
              <w:t xml:space="preserve">1.65x</w:t>
            </w:r>
          </w:p>
        </w:tc>
        <w:tc>
          <w:p>
            <w:pPr>
              <w:pStyle w:val="Compact"/>
              <w:jc w:val="left"/>
            </w:pPr>
            <w:r>
              <w:t xml:space="preserve">Excellent</w:t>
            </w:r>
          </w:p>
        </w:tc>
      </w:tr>
    </w:tbl>
    <w:p>
      <w:pPr>
        <w:pStyle w:val="BodyText"/>
      </w:pPr>
      <w:r>
        <w:rPr>
          <w:b/>
        </w:rPr>
        <w:t xml:space="preserve">Interpretation:</w:t>
      </w:r>
      <w:r>
        <w:t xml:space="preserve"> </w:t>
      </w:r>
      <w:r>
        <w:t xml:space="preserve">OCF consistently exceeds GAAP net income by 47–65%, driven by:</w:t>
      </w:r>
      <w:r>
        <w:t xml:space="preserve"> </w:t>
      </w:r>
      <w:r>
        <w:t xml:space="preserve">1.</w:t>
      </w:r>
      <w:r>
        <w:t xml:space="preserve"> </w:t>
      </w:r>
      <w:r>
        <w:rPr>
          <w:b/>
        </w:rPr>
        <w:t xml:space="preserve">Deferred Revenue Conversion:</w:t>
      </w:r>
      <w:r>
        <w:t xml:space="preserve"> </w:t>
      </w:r>
      <w:r>
        <w:t xml:space="preserve">$2,078M deferred revenue balance in FY2025; non-cash revenue is collected upfront and recognized ratably.</w:t>
      </w:r>
      <w:r>
        <w:t xml:space="preserve"> </w:t>
      </w:r>
      <w:r>
        <w:t xml:space="preserve">2.</w:t>
      </w:r>
      <w:r>
        <w:t xml:space="preserve"> </w:t>
      </w:r>
      <w:r>
        <w:rPr>
          <w:b/>
        </w:rPr>
        <w:t xml:space="preserve">Intangible Amortization Add-Back:</w:t>
      </w:r>
      <w:r>
        <w:t xml:space="preserve"> </w:t>
      </w:r>
      <w:r>
        <w:t xml:space="preserve">Non-cash expense of $858M added back to calculate OCF.</w:t>
      </w:r>
      <w:r>
        <w:t xml:space="preserve"> </w:t>
      </w:r>
      <w:r>
        <w:t xml:space="preserve">3.</w:t>
      </w:r>
      <w:r>
        <w:t xml:space="preserve"> </w:t>
      </w:r>
      <w:r>
        <w:rPr>
          <w:b/>
        </w:rPr>
        <w:t xml:space="preserve">Stock-Based Compensation Add-Back:</w:t>
      </w:r>
      <w:r>
        <w:t xml:space="preserve"> </w:t>
      </w:r>
      <w:r>
        <w:t xml:space="preserve">Non-cash charge of $166M added back.</w:t>
      </w:r>
    </w:p>
    <w:p>
      <w:pPr>
        <w:pStyle w:val="BodyText"/>
      </w:pPr>
      <w:r>
        <w:rPr>
          <w:b/>
        </w:rPr>
        <w:t xml:space="preserve">Free Cash Flow Sustainability:</w:t>
      </w:r>
    </w:p>
    <w:p>
      <w:pPr>
        <w:pStyle w:val="BodyText"/>
      </w:pPr>
      <m:oMathPara>
        <m:oMathParaPr>
          <m:jc m:val="center"/>
        </m:oMathParaPr>
        <m:oMath>
          <m:r>
            <m:rPr>
              <m:nor/>
              <m:sty m:val="p"/>
            </m:rPr>
            <m:t>FCF Margin (FY2025)</m:t>
          </m:r>
          <m:r>
            <m:t>=</m:t>
          </m:r>
          <m:f>
            <m:fPr>
              <m:type m:val="bar"/>
            </m:fPr>
            <m:num>
              <m:r>
                <m:t>$</m:t>
              </m:r>
              <m:r>
                <m:t>2</m:t>
              </m:r>
              <m:r>
                <m:t>,</m:t>
              </m:r>
              <m:r>
                <m:t>466</m:t>
              </m:r>
              <m:r>
                <m:t>M</m:t>
              </m:r>
            </m:num>
            <m:den>
              <m:r>
                <m:t>$</m:t>
              </m:r>
              <m:r>
                <m:t>7</m:t>
              </m:r>
              <m:r>
                <m:t>,</m:t>
              </m:r>
              <m:r>
                <m:t>902.5</m:t>
              </m:r>
              <m:r>
                <m:t>M</m:t>
              </m:r>
            </m:den>
          </m:f>
          <m:r>
            <m:t>=</m:t>
          </m:r>
          <m:r>
            <m:t>31.2</m:t>
          </m:r>
          <m:r>
            <m:t>%</m:t>
          </m:r>
        </m:oMath>
      </m:oMathPara>
    </w:p>
    <w:p>
      <w:pPr>
        <w:pStyle w:val="FirstParagraph"/>
      </w:pPr>
      <w:r>
        <w:t xml:space="preserve">This is</w:t>
      </w:r>
      <w:r>
        <w:t xml:space="preserve"> </w:t>
      </w:r>
      <w:r>
        <w:rPr>
          <w:b/>
        </w:rPr>
        <w:t xml:space="preserve">exceptional</w:t>
      </w:r>
      <w:r>
        <w:t xml:space="preserve"> </w:t>
      </w:r>
      <w:r>
        <w:t xml:space="preserve">for a software-centric business, indicating:</w:t>
      </w:r>
      <w:r>
        <w:t xml:space="preserve"> </w:t>
      </w:r>
      <w:r>
        <w:t xml:space="preserve">- Minimal reinvestment capex (0.6% of revenue capex vs. 2–3% typical for technology companies).</w:t>
      </w:r>
      <w:r>
        <w:t xml:space="preserve"> </w:t>
      </w:r>
      <w:r>
        <w:t xml:space="preserve">- High leverage of deferred revenue to cash generation.</w:t>
      </w:r>
      <w:r>
        <w:t xml:space="preserve"> </w:t>
      </w:r>
      <w:r>
        <w:t xml:space="preserve">- Predictable cash extraction capability for M&amp;A + shareholder returns.</w:t>
      </w:r>
    </w:p>
    <w:p>
      <w:pPr>
        <w:pStyle w:val="BodyText"/>
      </w:pPr>
      <w:r>
        <w:rPr>
          <w:b/>
        </w:rPr>
        <w:t xml:space="preserve">Capex Requirements Analysis:</w:t>
      </w:r>
    </w:p>
    <w:tbl>
      <w:tblPr>
        <w:tblStyle w:val="Table"/>
        <w:tblW w:type="pct" w:w="0.0"/>
        <w:tblLook w:firstRow="1"/>
      </w:tblPr>
      <w:tblGrid/>
      <w:tr>
        <w:trPr>
          <w:cnfStyle w:firstRow="1"/>
        </w:trPr>
        <w:tc>
          <w:tcPr>
            <w:tcBorders>
              <w:bottom w:val="single"/>
            </w:tcBorders>
            <w:vAlign w:val="bottom"/>
          </w:tcPr>
          <w:p>
            <w:pPr>
              <w:pStyle w:val="Compact"/>
              <w:jc w:val="left"/>
            </w:pPr>
            <w:r>
              <w:t xml:space="preserve">Year</w:t>
            </w:r>
          </w:p>
        </w:tc>
        <w:tc>
          <w:tcPr>
            <w:tcBorders>
              <w:bottom w:val="single"/>
            </w:tcBorders>
            <w:vAlign w:val="bottom"/>
          </w:tcPr>
          <w:p>
            <w:pPr>
              <w:pStyle w:val="Compact"/>
              <w:jc w:val="left"/>
            </w:pPr>
            <w:r>
              <w:t xml:space="preserve">Capex (</w:t>
            </w:r>
            <m:oMath>
              <m:r>
                <m:t>M</m:t>
              </m:r>
              <m:r>
                <m:t>)</m:t>
              </m:r>
              <m:r>
                <m:t>|</m:t>
              </m:r>
              <m:r>
                <m:t>S</m:t>
              </m:r>
              <m:r>
                <m:t>o</m:t>
              </m:r>
              <m:r>
                <m:t>f</m:t>
              </m:r>
              <m:r>
                <m:t>t</m:t>
              </m:r>
              <m:r>
                <m:t>w</m:t>
              </m:r>
              <m:r>
                <m:t>a</m:t>
              </m:r>
              <m:r>
                <m:t>r</m:t>
              </m:r>
              <m:r>
                <m:t>e</m:t>
              </m:r>
              <m:r>
                <m:t>(</m:t>
              </m:r>
            </m:oMath>
            <w:r>
              <w:t xml:space="preserve">M)</w:t>
            </w:r>
          </w:p>
        </w:tc>
        <w:tc>
          <w:tcPr>
            <w:tcBorders>
              <w:bottom w:val="single"/>
            </w:tcBorders>
            <w:vAlign w:val="bottom"/>
          </w:tcPr>
          <w:p>
            <w:pPr>
              <w:pStyle w:val="Compact"/>
              <w:jc w:val="left"/>
            </w:pPr>
            <w:r>
              <w:t xml:space="preserve">Total ($M)</w:t>
            </w:r>
          </w:p>
        </w:tc>
        <w:tc>
          <w:tcPr>
            <w:tcBorders>
              <w:bottom w:val="single"/>
            </w:tcBorders>
            <w:vAlign w:val="bottom"/>
          </w:tcPr>
          <w:p>
            <w:pPr>
              <w:pStyle w:val="Compact"/>
              <w:jc w:val="left"/>
            </w:pPr>
            <w:r>
              <w:t xml:space="preserve">% of Revenue</w:t>
            </w:r>
          </w:p>
        </w:tc>
        <w:tc>
          <w:tcPr>
            <w:tcBorders>
              <w:bottom w:val="single"/>
            </w:tcBorders>
            <w:vAlign w:val="bottom"/>
          </w:tcPr>
          <w:p/>
        </w:tc>
      </w:tr>
      <w:tr>
        <w:tc>
          <w:p>
            <w:pPr>
              <w:pStyle w:val="Compact"/>
              <w:jc w:val="left"/>
            </w:pPr>
            <w:r>
              <w:t xml:space="preserve">FY2023</w:t>
            </w:r>
          </w:p>
        </w:tc>
        <w:tc>
          <w:p>
            <w:pPr>
              <w:pStyle w:val="Compact"/>
              <w:jc w:val="left"/>
            </w:pPr>
            <w:r>
              <w:t xml:space="preserve">$73.0</w:t>
            </w:r>
          </w:p>
        </w:tc>
        <w:tc>
          <w:p>
            <w:pPr>
              <w:pStyle w:val="Compact"/>
              <w:jc w:val="left"/>
            </w:pPr>
            <w:r>
              <w:t xml:space="preserve">—</w:t>
            </w:r>
          </w:p>
        </w:tc>
        <w:tc>
          <w:p>
            <w:pPr>
              <w:pStyle w:val="Compact"/>
              <w:jc w:val="left"/>
            </w:pPr>
            <w:r>
              <w:t xml:space="preserve">$73.0</w:t>
            </w:r>
          </w:p>
        </w:tc>
        <w:tc>
          <w:p>
            <w:pPr>
              <w:pStyle w:val="Compact"/>
              <w:jc w:val="left"/>
            </w:pPr>
            <w:r>
              <w:t xml:space="preserve">1.2%</w:t>
            </w:r>
          </w:p>
        </w:tc>
      </w:tr>
      <w:tr>
        <w:tc>
          <w:p>
            <w:pPr>
              <w:pStyle w:val="Compact"/>
              <w:jc w:val="left"/>
            </w:pPr>
            <w:r>
              <w:t xml:space="preserve">FY2024</w:t>
            </w:r>
          </w:p>
        </w:tc>
        <w:tc>
          <w:p>
            <w:pPr>
              <w:pStyle w:val="Compact"/>
              <w:jc w:val="left"/>
            </w:pPr>
            <w:r>
              <w:t xml:space="preserve">~$111</w:t>
            </w:r>
          </w:p>
        </w:tc>
        <w:tc>
          <w:p>
            <w:pPr>
              <w:pStyle w:val="Compact"/>
              <w:jc w:val="left"/>
            </w:pPr>
            <w:r>
              <w:t xml:space="preserve">—</w:t>
            </w:r>
          </w:p>
        </w:tc>
        <w:tc>
          <w:p>
            <w:pPr>
              <w:pStyle w:val="Compact"/>
              <w:jc w:val="left"/>
            </w:pPr>
            <w:r>
              <w:t xml:space="preserve">$111.0</w:t>
            </w:r>
          </w:p>
        </w:tc>
        <w:tc>
          <w:p>
            <w:pPr>
              <w:pStyle w:val="Compact"/>
              <w:jc w:val="left"/>
            </w:pPr>
            <w:r>
              <w:t xml:space="preserve">1.6%</w:t>
            </w:r>
          </w:p>
        </w:tc>
      </w:tr>
      <w:tr>
        <w:tc>
          <w:p>
            <w:pPr>
              <w:pStyle w:val="Compact"/>
              <w:jc w:val="left"/>
            </w:pPr>
            <w:r>
              <w:t xml:space="preserve">FY2025</w:t>
            </w:r>
          </w:p>
        </w:tc>
        <w:tc>
          <w:p>
            <w:pPr>
              <w:pStyle w:val="Compact"/>
              <w:jc w:val="left"/>
            </w:pPr>
            <w:r>
              <w:t xml:space="preserve">$47.4</w:t>
            </w:r>
          </w:p>
        </w:tc>
        <w:tc>
          <w:p>
            <w:pPr>
              <w:pStyle w:val="Compact"/>
              <w:jc w:val="left"/>
            </w:pPr>
            <w:r>
              <w:t xml:space="preserve">$57.0</w:t>
            </w:r>
          </w:p>
        </w:tc>
        <w:tc>
          <w:p>
            <w:pPr>
              <w:pStyle w:val="Compact"/>
              <w:jc w:val="left"/>
            </w:pPr>
            <w:r>
              <w:t xml:space="preserve">$104.4</w:t>
            </w:r>
          </w:p>
        </w:tc>
        <w:tc>
          <w:p>
            <w:pPr>
              <w:pStyle w:val="Compact"/>
              <w:jc w:val="left"/>
            </w:pPr>
            <w:r>
              <w:t xml:space="preserve">1.3%</w:t>
            </w:r>
          </w:p>
        </w:tc>
      </w:tr>
      <w:tr>
        <w:tc>
          <w:p>
            <w:pPr>
              <w:pStyle w:val="Compact"/>
              <w:jc w:val="left"/>
            </w:pPr>
            <w:r>
              <w:t xml:space="preserve">FY2026E</w:t>
            </w:r>
          </w:p>
        </w:tc>
        <w:tc>
          <w:p>
            <w:pPr>
              <w:pStyle w:val="Compact"/>
              <w:jc w:val="left"/>
            </w:pPr>
            <w:r>
              <w:t xml:space="preserve">~$55</w:t>
            </w:r>
          </w:p>
        </w:tc>
        <w:tc>
          <w:p>
            <w:pPr>
              <w:pStyle w:val="Compact"/>
              <w:jc w:val="left"/>
            </w:pPr>
            <w:r>
              <w:t xml:space="preserve">~$60</w:t>
            </w:r>
          </w:p>
        </w:tc>
        <w:tc>
          <w:p>
            <w:pPr>
              <w:pStyle w:val="Compact"/>
              <w:jc w:val="left"/>
            </w:pPr>
            <w:r>
              <w:t xml:space="preserve">$110.0</w:t>
            </w:r>
          </w:p>
        </w:tc>
        <w:tc>
          <w:p>
            <w:pPr>
              <w:pStyle w:val="Compact"/>
              <w:jc w:val="left"/>
            </w:pPr>
            <w:r>
              <w:t xml:space="preserve">1.3%</w:t>
            </w:r>
          </w:p>
        </w:tc>
      </w:tr>
    </w:tbl>
    <w:p>
      <w:pPr>
        <w:pStyle w:val="BodyText"/>
      </w:pPr>
      <w:r>
        <w:rPr>
          <w:b/>
        </w:rPr>
        <w:t xml:space="preserve">Interpretation:</w:t>
      </w:r>
      <w:r>
        <w:t xml:space="preserve"> </w:t>
      </w:r>
      <w:r>
        <w:t xml:space="preserve">ROP’s capex intensity is remarkably low (1.2–1.6% of revenue) vs. hardware/device companies (3–5%) or hyperscale cloud infrastructure (6–8%). This reflects the software/SaaS nature of the business; most capex is cloud hosting infrastructure (AWS, Azure, on-prem servers), minimal manufacturing or facility capex.</w:t>
      </w:r>
    </w:p>
    <w:p>
      <w:r>
        <w:pict>
          <v:rect style="width:0;height:1.5pt" o:hralign="center" o:hrstd="t" o:hr="t"/>
        </w:pict>
      </w:r>
    </w:p>
    <w:p>
      <w:pPr>
        <w:pStyle w:val="Heading3"/>
      </w:pPr>
      <w:bookmarkStart w:id="87" w:name="X9e8e34cedfe27fe52e64d857f72fa41569853cb"/>
      <w:r>
        <w:t xml:space="preserve">5D. Balance Sheet Structure and Leverage Analysis (FY2025)</w:t>
      </w:r>
      <w:bookmarkEnd w:id="87"/>
    </w:p>
    <w:p>
      <w:pPr>
        <w:pStyle w:val="Heading4"/>
      </w:pPr>
      <w:bookmarkStart w:id="88" w:name="asset-composition"/>
      <w:r>
        <w:rPr>
          <w:b/>
        </w:rPr>
        <w:t xml:space="preserve">Asset Composition:</w:t>
      </w:r>
      <w:bookmarkEnd w:id="88"/>
    </w:p>
    <w:tbl>
      <w:tblPr>
        <w:tblStyle w:val="Table"/>
        <w:tblW w:type="pct" w:w="5000.0"/>
        <w:tblLook w:firstRow="1"/>
      </w:tblPr>
      <w:tblGrid>
        <w:gridCol w:w="1980"/>
        <w:gridCol w:w="1980"/>
        <w:gridCol w:w="1980"/>
        <w:gridCol w:w="1980"/>
      </w:tblGrid>
      <w:tr>
        <w:trPr>
          <w:cnfStyle w:firstRow="1"/>
        </w:trPr>
        <w:tc>
          <w:tcPr>
            <w:tcBorders>
              <w:bottom w:val="single"/>
            </w:tcBorders>
            <w:vAlign w:val="bottom"/>
          </w:tcPr>
          <w:p>
            <w:pPr>
              <w:pStyle w:val="Compact"/>
              <w:jc w:val="left"/>
            </w:pPr>
            <w:r>
              <w:t xml:space="preserve">Asset Category</w:t>
            </w:r>
          </w:p>
        </w:tc>
        <w:tc>
          <w:tcPr>
            <w:tcBorders>
              <w:bottom w:val="single"/>
            </w:tcBorders>
            <w:vAlign w:val="bottom"/>
          </w:tcPr>
          <w:p>
            <w:pPr>
              <w:pStyle w:val="Compact"/>
              <w:jc w:val="left"/>
            </w:pPr>
            <w:r>
              <w:t xml:space="preserve">Amount ($M)</w:t>
            </w:r>
          </w:p>
        </w:tc>
        <w:tc>
          <w:tcPr>
            <w:tcBorders>
              <w:bottom w:val="single"/>
            </w:tcBorders>
            <w:vAlign w:val="bottom"/>
          </w:tcPr>
          <w:p>
            <w:pPr>
              <w:pStyle w:val="Compact"/>
              <w:jc w:val="left"/>
            </w:pPr>
            <w:r>
              <w:t xml:space="preserve">% of Total Assets</w:t>
            </w:r>
          </w:p>
        </w:tc>
        <w:tc>
          <w:tcPr>
            <w:tcBorders>
              <w:bottom w:val="single"/>
            </w:tcBorders>
            <w:vAlign w:val="bottom"/>
          </w:tcPr>
          <w:p>
            <w:pPr>
              <w:pStyle w:val="Compact"/>
              <w:jc w:val="left"/>
            </w:pPr>
            <w:r>
              <w:t xml:space="preserve">Notes</w:t>
            </w:r>
          </w:p>
        </w:tc>
      </w:tr>
      <w:tr>
        <w:tc>
          <w:p>
            <w:pPr>
              <w:pStyle w:val="Compact"/>
              <w:jc w:val="left"/>
            </w:pPr>
            <w:r>
              <w:rPr>
                <w:b/>
              </w:rPr>
              <w:t xml:space="preserve">Current Assets:</w:t>
            </w:r>
          </w:p>
        </w:tc>
        <w:tc>
          <w:p/>
        </w:tc>
        <w:tc>
          <w:p/>
        </w:tc>
        <w:tc>
          <w:p/>
        </w:tc>
      </w:tr>
      <w:tr>
        <w:tc>
          <w:p>
            <w:pPr>
              <w:pStyle w:val="Compact"/>
              <w:jc w:val="left"/>
            </w:pPr>
            <w:r>
              <w:t xml:space="preserve">Cash &amp; Equivalents</w:t>
            </w:r>
          </w:p>
        </w:tc>
        <w:tc>
          <w:p>
            <w:pPr>
              <w:pStyle w:val="Compact"/>
              <w:jc w:val="left"/>
            </w:pPr>
            <w:r>
              <w:t xml:space="preserve">$297.4</w:t>
            </w:r>
          </w:p>
        </w:tc>
        <w:tc>
          <w:p>
            <w:pPr>
              <w:pStyle w:val="Compact"/>
              <w:jc w:val="left"/>
            </w:pPr>
            <w:r>
              <w:t xml:space="preserve">0.9%</w:t>
            </w:r>
          </w:p>
        </w:tc>
        <w:tc>
          <w:p>
            <w:pPr>
              <w:pStyle w:val="Compact"/>
              <w:jc w:val="left"/>
            </w:pPr>
            <w:r>
              <w:t xml:space="preserve">Low cash position typical for FCF-generative software business</w:t>
            </w:r>
          </w:p>
        </w:tc>
      </w:tr>
      <w:tr>
        <w:tc>
          <w:p>
            <w:pPr>
              <w:pStyle w:val="Compact"/>
              <w:jc w:val="left"/>
            </w:pPr>
            <w:r>
              <w:t xml:space="preserve">Accounts Receivable</w:t>
            </w:r>
          </w:p>
        </w:tc>
        <w:tc>
          <w:p>
            <w:pPr>
              <w:pStyle w:val="Compact"/>
              <w:jc w:val="left"/>
            </w:pPr>
            <w:r>
              <w:t xml:space="preserve">$1,001.0</w:t>
            </w:r>
          </w:p>
        </w:tc>
        <w:tc>
          <w:p>
            <w:pPr>
              <w:pStyle w:val="Compact"/>
              <w:jc w:val="left"/>
            </w:pPr>
            <w:r>
              <w:t xml:space="preserve">2.9%</w:t>
            </w:r>
          </w:p>
        </w:tc>
        <w:tc>
          <w:p>
            <w:pPr>
              <w:pStyle w:val="Compact"/>
              <w:jc w:val="left"/>
            </w:pPr>
            <w:r>
              <w:t xml:space="preserve">DSO ~46 days ($1,001M / $7,902.5M × 365)</w:t>
            </w:r>
          </w:p>
        </w:tc>
      </w:tr>
      <w:tr>
        <w:tc>
          <w:p>
            <w:pPr>
              <w:pStyle w:val="Compact"/>
              <w:jc w:val="left"/>
            </w:pPr>
            <w:r>
              <w:t xml:space="preserve">Inventory</w:t>
            </w:r>
          </w:p>
        </w:tc>
        <w:tc>
          <w:p>
            <w:pPr>
              <w:pStyle w:val="Compact"/>
              <w:jc w:val="left"/>
            </w:pPr>
            <w:r>
              <w:t xml:space="preserve">$141.7</w:t>
            </w:r>
          </w:p>
        </w:tc>
        <w:tc>
          <w:p>
            <w:pPr>
              <w:pStyle w:val="Compact"/>
              <w:jc w:val="left"/>
            </w:pPr>
            <w:r>
              <w:t xml:space="preserve">0.4%</w:t>
            </w:r>
          </w:p>
        </w:tc>
        <w:tc>
          <w:p>
            <w:pPr>
              <w:pStyle w:val="Compact"/>
              <w:jc w:val="left"/>
            </w:pPr>
            <w:r>
              <w:t xml:space="preserve">Low inventory typical for software (only Tech Products segment material)</w:t>
            </w:r>
          </w:p>
        </w:tc>
      </w:tr>
      <w:tr>
        <w:tc>
          <w:p>
            <w:pPr>
              <w:pStyle w:val="Compact"/>
              <w:jc w:val="left"/>
            </w:pPr>
            <w:r>
              <w:t xml:space="preserve">Prepaid Expenses</w:t>
            </w:r>
          </w:p>
        </w:tc>
        <w:tc>
          <w:p>
            <w:pPr>
              <w:pStyle w:val="Compact"/>
              <w:jc w:val="left"/>
            </w:pPr>
            <w:r>
              <w:t xml:space="preserve">~$488.0</w:t>
            </w:r>
          </w:p>
        </w:tc>
        <w:tc>
          <w:p>
            <w:pPr>
              <w:pStyle w:val="Compact"/>
              <w:jc w:val="left"/>
            </w:pPr>
            <w:r>
              <w:t xml:space="preserve">1.4%</w:t>
            </w:r>
          </w:p>
        </w:tc>
        <w:tc>
          <w:p>
            <w:pPr>
              <w:pStyle w:val="Compact"/>
              <w:jc w:val="left"/>
            </w:pPr>
            <w:r>
              <w:t xml:space="preserve">Estimated from current assets $1,928M</w:t>
            </w:r>
          </w:p>
        </w:tc>
      </w:tr>
      <w:tr>
        <w:tc>
          <w:p>
            <w:pPr>
              <w:pStyle w:val="Compact"/>
              <w:jc w:val="left"/>
            </w:pPr>
            <w:r>
              <w:rPr>
                <w:b/>
              </w:rPr>
              <w:t xml:space="preserve">Total Current Assets</w:t>
            </w:r>
          </w:p>
        </w:tc>
        <w:tc>
          <w:p>
            <w:pPr>
              <w:pStyle w:val="Compact"/>
              <w:jc w:val="left"/>
            </w:pPr>
            <w:r>
              <w:rPr>
                <w:b/>
              </w:rPr>
              <w:t xml:space="preserve">$1,928.0</w:t>
            </w:r>
          </w:p>
        </w:tc>
        <w:tc>
          <w:p>
            <w:pPr>
              <w:pStyle w:val="Compact"/>
              <w:jc w:val="left"/>
            </w:pPr>
            <w:r>
              <w:rPr>
                <w:b/>
              </w:rPr>
              <w:t xml:space="preserve">5.6%</w:t>
            </w:r>
          </w:p>
        </w:tc>
        <w:tc>
          <w:p>
            <w:pPr>
              <w:pStyle w:val="Compact"/>
              <w:jc w:val="left"/>
            </w:pPr>
            <w:r>
              <w:t xml:space="preserve">—</w:t>
            </w:r>
          </w:p>
        </w:tc>
      </w:tr>
      <w:tr>
        <w:tc>
          <w:p>
            <w:pPr>
              <w:pStyle w:val="Compact"/>
              <w:jc w:val="left"/>
            </w:pPr>
            <w:r>
              <w:rPr>
                <w:b/>
              </w:rPr>
              <w:t xml:space="preserve">Property, Plant &amp; Equipment</w:t>
            </w:r>
          </w:p>
        </w:tc>
        <w:tc>
          <w:p>
            <w:pPr>
              <w:pStyle w:val="Compact"/>
              <w:jc w:val="left"/>
            </w:pPr>
            <w:r>
              <w:t xml:space="preserve">~$300–400</w:t>
            </w:r>
          </w:p>
        </w:tc>
        <w:tc>
          <w:p>
            <w:pPr>
              <w:pStyle w:val="Compact"/>
              <w:jc w:val="left"/>
            </w:pPr>
            <w:r>
              <w:t xml:space="preserve">0.9–1.2%</w:t>
            </w:r>
          </w:p>
        </w:tc>
        <w:tc>
          <w:p>
            <w:pPr>
              <w:pStyle w:val="Compact"/>
              <w:jc w:val="left"/>
            </w:pPr>
            <w:r>
              <w:t xml:space="preserve">Estimated; ROP doesn’t break out as separate item</w:t>
            </w:r>
          </w:p>
        </w:tc>
      </w:tr>
      <w:tr>
        <w:tc>
          <w:p>
            <w:pPr>
              <w:pStyle w:val="Compact"/>
              <w:jc w:val="left"/>
            </w:pPr>
            <w:r>
              <w:rPr>
                <w:b/>
              </w:rPr>
              <w:t xml:space="preserve">Goodwill</w:t>
            </w:r>
          </w:p>
        </w:tc>
        <w:tc>
          <w:p>
            <w:pPr>
              <w:pStyle w:val="Compact"/>
              <w:jc w:val="left"/>
            </w:pPr>
            <w:r>
              <w:t xml:space="preserve">$21,341.0</w:t>
            </w:r>
          </w:p>
        </w:tc>
        <w:tc>
          <w:p>
            <w:pPr>
              <w:pStyle w:val="Compact"/>
              <w:jc w:val="left"/>
            </w:pPr>
            <w:r>
              <w:t xml:space="preserve">61.7%</w:t>
            </w:r>
          </w:p>
        </w:tc>
        <w:tc>
          <w:p>
            <w:pPr>
              <w:pStyle w:val="Compact"/>
              <w:jc w:val="left"/>
            </w:pPr>
            <w:r>
              <w:t xml:space="preserve">Reflects M&amp;A ($8.96B deployed 2023–2025)</w:t>
            </w:r>
          </w:p>
        </w:tc>
      </w:tr>
      <w:tr>
        <w:tc>
          <w:p>
            <w:pPr>
              <w:pStyle w:val="Compact"/>
              <w:jc w:val="left"/>
            </w:pPr>
            <w:r>
              <w:rPr>
                <w:b/>
              </w:rPr>
              <w:t xml:space="preserve">Acquired Intangible Assets</w:t>
            </w:r>
          </w:p>
        </w:tc>
        <w:tc>
          <w:p>
            <w:pPr>
              <w:pStyle w:val="Compact"/>
              <w:jc w:val="left"/>
            </w:pPr>
            <w:r>
              <w:t xml:space="preserve">$9,764.0</w:t>
            </w:r>
          </w:p>
        </w:tc>
        <w:tc>
          <w:p>
            <w:pPr>
              <w:pStyle w:val="Compact"/>
              <w:jc w:val="left"/>
            </w:pPr>
            <w:r>
              <w:t xml:space="preserve">28.2%</w:t>
            </w:r>
          </w:p>
        </w:tc>
        <w:tc>
          <w:p>
            <w:pPr>
              <w:pStyle w:val="Compact"/>
              <w:jc w:val="left"/>
            </w:pPr>
            <w:r>
              <w:t xml:space="preserve">Customer lists, software/technology, trade names, non-competes</w:t>
            </w:r>
          </w:p>
        </w:tc>
      </w:tr>
      <w:tr>
        <w:tc>
          <w:p>
            <w:pPr>
              <w:pStyle w:val="Compact"/>
              <w:jc w:val="left"/>
            </w:pPr>
            <w:r>
              <w:rPr>
                <w:b/>
              </w:rPr>
              <w:t xml:space="preserve">Other Intangibles (net)</w:t>
            </w:r>
          </w:p>
        </w:tc>
        <w:tc>
          <w:p>
            <w:pPr>
              <w:pStyle w:val="Compact"/>
              <w:jc w:val="left"/>
            </w:pPr>
            <w:r>
              <w:t xml:space="preserve">~$244.0</w:t>
            </w:r>
          </w:p>
        </w:tc>
        <w:tc>
          <w:p>
            <w:pPr>
              <w:pStyle w:val="Compact"/>
              <w:jc w:val="left"/>
            </w:pPr>
            <w:r>
              <w:t xml:space="preserve">0.7%</w:t>
            </w:r>
          </w:p>
        </w:tc>
        <w:tc>
          <w:p>
            <w:pPr>
              <w:pStyle w:val="Compact"/>
              <w:jc w:val="left"/>
            </w:pPr>
            <w:r>
              <w:t xml:space="preserve">Residual intangibles</w:t>
            </w:r>
          </w:p>
        </w:tc>
      </w:tr>
      <w:tr>
        <w:tc>
          <w:p>
            <w:pPr>
              <w:pStyle w:val="Compact"/>
              <w:jc w:val="left"/>
            </w:pPr>
            <w:r>
              <w:rPr>
                <w:b/>
              </w:rPr>
              <w:t xml:space="preserve">TOTAL ASSETS</w:t>
            </w:r>
          </w:p>
        </w:tc>
        <w:tc>
          <w:p>
            <w:pPr>
              <w:pStyle w:val="Compact"/>
              <w:jc w:val="left"/>
            </w:pPr>
            <w:r>
              <w:rPr>
                <w:b/>
              </w:rPr>
              <w:t xml:space="preserve">$34,577.0</w:t>
            </w:r>
          </w:p>
        </w:tc>
        <w:tc>
          <w:p>
            <w:pPr>
              <w:pStyle w:val="Compact"/>
              <w:jc w:val="left"/>
            </w:pPr>
            <w:r>
              <w:rPr>
                <w:b/>
              </w:rPr>
              <w:t xml:space="preserve">100.0%</w:t>
            </w:r>
          </w:p>
        </w:tc>
        <w:tc>
          <w:p>
            <w:pPr>
              <w:pStyle w:val="Compact"/>
              <w:jc w:val="left"/>
            </w:pPr>
            <w:r>
              <w:t xml:space="preserve">—</w:t>
            </w:r>
          </w:p>
        </w:tc>
      </w:tr>
    </w:tbl>
    <w:p>
      <w:pPr>
        <w:pStyle w:val="BodyText"/>
      </w:pPr>
      <w:r>
        <w:rPr>
          <w:b/>
        </w:rPr>
        <w:t xml:space="preserve">Goodwill &amp; Intangible Asset Detail:</w:t>
      </w:r>
    </w:p>
    <w:p>
      <w:pPr>
        <w:pStyle w:val="BodyText"/>
      </w:pPr>
      <w:r>
        <w:t xml:space="preserve">Goodwill + Acquired Intangibles = $21,341M + $9,764M =</w:t>
      </w:r>
      <w:r>
        <w:t xml:space="preserve"> </w:t>
      </w:r>
      <w:r>
        <w:rPr>
          <w:b/>
        </w:rPr>
        <w:t xml:space="preserve">$31,105M</w:t>
      </w:r>
      <w:r>
        <w:t xml:space="preserve"> </w:t>
      </w:r>
      <w:r>
        <w:t xml:space="preserve">(89.9% of total assets)</w:t>
      </w:r>
    </w:p>
    <w:p>
      <w:pPr>
        <w:pStyle w:val="BodyText"/>
      </w:pPr>
      <w:r>
        <w:t xml:space="preserve">This concentration reflects ROP’s acquisition-centric growth model. Under US GAAP:</w:t>
      </w:r>
      <w:r>
        <w:t xml:space="preserve"> </w:t>
      </w:r>
      <w:r>
        <w:t xml:space="preserve">- Goodwill is subject to annual impairment testing (not amortized unless impaired).</w:t>
      </w:r>
      <w:r>
        <w:t xml:space="preserve"> </w:t>
      </w:r>
      <w:r>
        <w:t xml:space="preserve">- Acquired intangibles are amortized over estimated useful lives (3–15 years depending on type).</w:t>
      </w:r>
      <w:r>
        <w:t xml:space="preserve"> </w:t>
      </w:r>
      <w:r>
        <w:t xml:space="preserve">- No impairment charges disclosed in recent 10-Ks, indicating ROP management’s confidence in fair value of acquired portfolios [10-K disclosures].</w:t>
      </w:r>
    </w:p>
    <w:p>
      <w:pPr>
        <w:pStyle w:val="Heading4"/>
      </w:pPr>
      <w:bookmarkStart w:id="89" w:name="liability-composition"/>
      <w:r>
        <w:rPr>
          <w:b/>
        </w:rPr>
        <w:t xml:space="preserve">Liability Composition:</w:t>
      </w:r>
      <w:bookmarkEnd w:id="89"/>
    </w:p>
    <w:tbl>
      <w:tblPr>
        <w:tblStyle w:val="Table"/>
        <w:tblW w:type="pct" w:w="5000.0"/>
        <w:tblLook w:firstRow="1"/>
      </w:tblPr>
      <w:tblGrid>
        <w:gridCol w:w="1980"/>
        <w:gridCol w:w="1980"/>
        <w:gridCol w:w="1980"/>
        <w:gridCol w:w="1980"/>
      </w:tblGrid>
      <w:tr>
        <w:trPr>
          <w:cnfStyle w:firstRow="1"/>
        </w:trPr>
        <w:tc>
          <w:tcPr>
            <w:tcBorders>
              <w:bottom w:val="single"/>
            </w:tcBorders>
            <w:vAlign w:val="bottom"/>
          </w:tcPr>
          <w:p>
            <w:pPr>
              <w:pStyle w:val="Compact"/>
              <w:jc w:val="left"/>
            </w:pPr>
            <w:r>
              <w:t xml:space="preserve">Liability Category</w:t>
            </w:r>
          </w:p>
        </w:tc>
        <w:tc>
          <w:tcPr>
            <w:tcBorders>
              <w:bottom w:val="single"/>
            </w:tcBorders>
            <w:vAlign w:val="bottom"/>
          </w:tcPr>
          <w:p>
            <w:pPr>
              <w:pStyle w:val="Compact"/>
              <w:jc w:val="left"/>
            </w:pPr>
            <w:r>
              <w:t xml:space="preserve">Amount ($M)</w:t>
            </w:r>
          </w:p>
        </w:tc>
        <w:tc>
          <w:tcPr>
            <w:tcBorders>
              <w:bottom w:val="single"/>
            </w:tcBorders>
            <w:vAlign w:val="bottom"/>
          </w:tcPr>
          <w:p>
            <w:pPr>
              <w:pStyle w:val="Compact"/>
              <w:jc w:val="left"/>
            </w:pPr>
            <w:r>
              <w:t xml:space="preserve">% of Total Liabilities</w:t>
            </w:r>
          </w:p>
        </w:tc>
        <w:tc>
          <w:tcPr>
            <w:tcBorders>
              <w:bottom w:val="single"/>
            </w:tcBorders>
            <w:vAlign w:val="bottom"/>
          </w:tcPr>
          <w:p>
            <w:pPr>
              <w:pStyle w:val="Compact"/>
              <w:jc w:val="left"/>
            </w:pPr>
            <w:r>
              <w:t xml:space="preserve">Notes</w:t>
            </w:r>
          </w:p>
        </w:tc>
      </w:tr>
      <w:tr>
        <w:tc>
          <w:p>
            <w:pPr>
              <w:pStyle w:val="Compact"/>
              <w:jc w:val="left"/>
            </w:pPr>
            <w:r>
              <w:rPr>
                <w:b/>
              </w:rPr>
              <w:t xml:space="preserve">Current Liabilities:</w:t>
            </w:r>
          </w:p>
        </w:tc>
        <w:tc>
          <w:p/>
        </w:tc>
        <w:tc>
          <w:p/>
        </w:tc>
        <w:tc>
          <w:p/>
        </w:tc>
      </w:tr>
      <w:tr>
        <w:tc>
          <w:p>
            <w:pPr>
              <w:pStyle w:val="Compact"/>
              <w:jc w:val="left"/>
            </w:pPr>
            <w:r>
              <w:t xml:space="preserve">Current Portion of Debt</w:t>
            </w:r>
          </w:p>
        </w:tc>
        <w:tc>
          <w:p>
            <w:pPr>
              <w:pStyle w:val="Compact"/>
              <w:jc w:val="left"/>
            </w:pPr>
            <w:r>
              <w:t xml:space="preserve">$705.0</w:t>
            </w:r>
          </w:p>
        </w:tc>
        <w:tc>
          <w:p>
            <w:pPr>
              <w:pStyle w:val="Compact"/>
              <w:jc w:val="left"/>
            </w:pPr>
            <w:r>
              <w:t xml:space="preserve">—</w:t>
            </w:r>
          </w:p>
        </w:tc>
        <w:tc>
          <w:p>
            <w:pPr>
              <w:pStyle w:val="Compact"/>
              <w:jc w:val="left"/>
            </w:pPr>
            <w:r>
              <w:t xml:space="preserve">Due within 12 months; primarily term loan repayment</w:t>
            </w:r>
          </w:p>
        </w:tc>
      </w:tr>
      <w:tr>
        <w:tc>
          <w:p>
            <w:pPr>
              <w:pStyle w:val="Compact"/>
              <w:jc w:val="left"/>
            </w:pPr>
            <w:r>
              <w:t xml:space="preserve">Revolver Balance</w:t>
            </w:r>
          </w:p>
        </w:tc>
        <w:tc>
          <w:p>
            <w:pPr>
              <w:pStyle w:val="Compact"/>
              <w:jc w:val="left"/>
            </w:pPr>
            <w:r>
              <w:t xml:space="preserve">$850.0</w:t>
            </w:r>
          </w:p>
        </w:tc>
        <w:tc>
          <w:p>
            <w:pPr>
              <w:pStyle w:val="Compact"/>
              <w:jc w:val="left"/>
            </w:pPr>
            <w:r>
              <w:t xml:space="preserve">—</w:t>
            </w:r>
          </w:p>
        </w:tc>
        <w:tc>
          <w:p>
            <w:pPr>
              <w:pStyle w:val="Compact"/>
              <w:jc w:val="left"/>
            </w:pPr>
            <w:r>
              <w:t xml:space="preserve">Drawn on $3.5B facility</w:t>
            </w:r>
          </w:p>
        </w:tc>
      </w:tr>
      <w:tr>
        <w:tc>
          <w:p>
            <w:pPr>
              <w:pStyle w:val="Compact"/>
              <w:jc w:val="left"/>
            </w:pPr>
            <w:r>
              <w:rPr>
                <w:b/>
              </w:rPr>
              <w:t xml:space="preserve">Total Current Debt</w:t>
            </w:r>
          </w:p>
        </w:tc>
        <w:tc>
          <w:p>
            <w:pPr>
              <w:pStyle w:val="Compact"/>
              <w:jc w:val="left"/>
            </w:pPr>
            <w:r>
              <w:rPr>
                <w:b/>
              </w:rPr>
              <w:t xml:space="preserve">$1,555.0</w:t>
            </w:r>
          </w:p>
        </w:tc>
        <w:tc>
          <w:p>
            <w:pPr>
              <w:pStyle w:val="Compact"/>
              <w:jc w:val="left"/>
            </w:pPr>
            <w:r>
              <w:t xml:space="preserve">—</w:t>
            </w:r>
          </w:p>
        </w:tc>
        <w:tc>
          <w:p>
            <w:pPr>
              <w:pStyle w:val="Compact"/>
              <w:jc w:val="left"/>
            </w:pPr>
            <w:r>
              <w:t xml:space="preserve">—</w:t>
            </w:r>
          </w:p>
        </w:tc>
      </w:tr>
      <w:tr>
        <w:tc>
          <w:p>
            <w:pPr>
              <w:pStyle w:val="Compact"/>
              <w:jc w:val="left"/>
            </w:pPr>
            <w:r>
              <w:t xml:space="preserve">Accounts Payable</w:t>
            </w:r>
          </w:p>
        </w:tc>
        <w:tc>
          <w:p>
            <w:pPr>
              <w:pStyle w:val="Compact"/>
              <w:jc w:val="left"/>
            </w:pPr>
            <w:r>
              <w:t xml:space="preserve">~$800–900</w:t>
            </w:r>
          </w:p>
        </w:tc>
        <w:tc>
          <w:p>
            <w:pPr>
              <w:pStyle w:val="Compact"/>
              <w:jc w:val="left"/>
            </w:pPr>
            <w:r>
              <w:t xml:space="preserve">—</w:t>
            </w:r>
          </w:p>
        </w:tc>
        <w:tc>
          <w:p>
            <w:pPr>
              <w:pStyle w:val="Compact"/>
              <w:jc w:val="left"/>
            </w:pPr>
            <w:r>
              <w:t xml:space="preserve">Estimated at 30–35 DPO</w:t>
            </w:r>
          </w:p>
        </w:tc>
      </w:tr>
      <w:tr>
        <w:tc>
          <w:p>
            <w:pPr>
              <w:pStyle w:val="Compact"/>
              <w:jc w:val="left"/>
            </w:pPr>
            <w:r>
              <w:t xml:space="preserve">Accrued Liabilities</w:t>
            </w:r>
          </w:p>
        </w:tc>
        <w:tc>
          <w:p>
            <w:pPr>
              <w:pStyle w:val="Compact"/>
              <w:jc w:val="left"/>
            </w:pPr>
            <w:r>
              <w:t xml:space="preserve">~$450–500</w:t>
            </w:r>
          </w:p>
        </w:tc>
        <w:tc>
          <w:p>
            <w:pPr>
              <w:pStyle w:val="Compact"/>
              <w:jc w:val="left"/>
            </w:pPr>
            <w:r>
              <w:t xml:space="preserve">—</w:t>
            </w:r>
          </w:p>
        </w:tc>
        <w:tc>
          <w:p>
            <w:pPr>
              <w:pStyle w:val="Compact"/>
              <w:jc w:val="left"/>
            </w:pPr>
            <w:r>
              <w:t xml:space="preserve">Employee bonuses, integration costs</w:t>
            </w:r>
          </w:p>
        </w:tc>
      </w:tr>
      <w:tr>
        <w:tc>
          <w:p>
            <w:pPr>
              <w:pStyle w:val="Compact"/>
              <w:jc w:val="left"/>
            </w:pPr>
            <w:r>
              <w:rPr>
                <w:b/>
              </w:rPr>
              <w:t xml:space="preserve">Total Current Liabilities</w:t>
            </w:r>
          </w:p>
        </w:tc>
        <w:tc>
          <w:p>
            <w:pPr>
              <w:pStyle w:val="Compact"/>
              <w:jc w:val="left"/>
            </w:pPr>
            <w:r>
              <w:rPr>
                <w:b/>
              </w:rPr>
              <w:t xml:space="preserve">$2,805.0</w:t>
            </w:r>
          </w:p>
        </w:tc>
        <w:tc>
          <w:p>
            <w:pPr>
              <w:pStyle w:val="Compact"/>
              <w:jc w:val="left"/>
            </w:pPr>
            <w:r>
              <w:t xml:space="preserve">—</w:t>
            </w:r>
          </w:p>
        </w:tc>
        <w:tc>
          <w:p>
            <w:pPr>
              <w:pStyle w:val="Compact"/>
              <w:jc w:val="left"/>
            </w:pPr>
            <w:r>
              <w:t xml:space="preserve">—</w:t>
            </w:r>
          </w:p>
        </w:tc>
      </w:tr>
      <w:tr>
        <w:tc>
          <w:p>
            <w:pPr>
              <w:pStyle w:val="Compact"/>
              <w:jc w:val="left"/>
            </w:pPr>
            <w:r>
              <w:rPr>
                <w:b/>
              </w:rPr>
              <w:t xml:space="preserve">Long-Term Debt</w:t>
            </w:r>
          </w:p>
        </w:tc>
        <w:tc>
          <w:p>
            <w:pPr>
              <w:pStyle w:val="Compact"/>
              <w:jc w:val="left"/>
            </w:pPr>
            <w:r>
              <w:t xml:space="preserve">$8,596.0</w:t>
            </w:r>
          </w:p>
        </w:tc>
        <w:tc>
          <w:p>
            <w:pPr>
              <w:pStyle w:val="Compact"/>
              <w:jc w:val="left"/>
            </w:pPr>
            <w:r>
              <w:t xml:space="preserve">—</w:t>
            </w:r>
          </w:p>
        </w:tc>
        <w:tc>
          <w:p>
            <w:pPr>
              <w:pStyle w:val="Compact"/>
              <w:jc w:val="left"/>
            </w:pPr>
            <w:r>
              <w:t xml:space="preserve">Fixed/floating rate senior debt, 2028–2032 maturities</w:t>
            </w:r>
          </w:p>
        </w:tc>
      </w:tr>
      <w:tr>
        <w:tc>
          <w:p>
            <w:pPr>
              <w:pStyle w:val="Compact"/>
              <w:jc w:val="left"/>
            </w:pPr>
            <w:r>
              <w:rPr>
                <w:b/>
              </w:rPr>
              <w:t xml:space="preserve">Deferred Revenue (non-current)</w:t>
            </w:r>
          </w:p>
        </w:tc>
        <w:tc>
          <w:p>
            <w:pPr>
              <w:pStyle w:val="Compact"/>
              <w:jc w:val="left"/>
            </w:pPr>
            <w:r>
              <w:t xml:space="preserve">$171.0</w:t>
            </w:r>
          </w:p>
        </w:tc>
        <w:tc>
          <w:p>
            <w:pPr>
              <w:pStyle w:val="Compact"/>
              <w:jc w:val="left"/>
            </w:pPr>
            <w:r>
              <w:t xml:space="preserve">—</w:t>
            </w:r>
          </w:p>
        </w:tc>
        <w:tc>
          <w:p>
            <w:pPr>
              <w:pStyle w:val="Compact"/>
              <w:jc w:val="left"/>
            </w:pPr>
            <w:r>
              <w:t xml:space="preserve">Multiyear SaaS contracts recognized over &gt; 1 year</w:t>
            </w:r>
          </w:p>
        </w:tc>
      </w:tr>
      <w:tr>
        <w:tc>
          <w:p>
            <w:pPr>
              <w:pStyle w:val="Compact"/>
              <w:jc w:val="left"/>
            </w:pPr>
            <w:r>
              <w:rPr>
                <w:b/>
              </w:rPr>
              <w:t xml:space="preserve">Other Long-Term Liabilities</w:t>
            </w:r>
          </w:p>
        </w:tc>
        <w:tc>
          <w:p>
            <w:pPr>
              <w:pStyle w:val="Compact"/>
              <w:jc w:val="left"/>
            </w:pPr>
            <w:r>
              <w:t xml:space="preserve">~$120–150</w:t>
            </w:r>
          </w:p>
        </w:tc>
        <w:tc>
          <w:p>
            <w:pPr>
              <w:pStyle w:val="Compact"/>
              <w:jc w:val="left"/>
            </w:pPr>
            <w:r>
              <w:t xml:space="preserve">—</w:t>
            </w:r>
          </w:p>
        </w:tc>
        <w:tc>
          <w:p>
            <w:pPr>
              <w:pStyle w:val="Compact"/>
              <w:jc w:val="left"/>
            </w:pPr>
            <w:r>
              <w:t xml:space="preserve">Deferred taxes, contingencies</w:t>
            </w:r>
          </w:p>
        </w:tc>
      </w:tr>
      <w:tr>
        <w:tc>
          <w:p>
            <w:pPr>
              <w:pStyle w:val="Compact"/>
              <w:jc w:val="left"/>
            </w:pPr>
            <w:r>
              <w:rPr>
                <w:b/>
              </w:rPr>
              <w:t xml:space="preserve">TOTAL LIABILITIES</w:t>
            </w:r>
          </w:p>
        </w:tc>
        <w:tc>
          <w:p>
            <w:pPr>
              <w:pStyle w:val="Compact"/>
              <w:jc w:val="left"/>
            </w:pPr>
            <w:r>
              <w:rPr>
                <w:b/>
              </w:rPr>
              <w:t xml:space="preserve">$14,696.0</w:t>
            </w:r>
          </w:p>
        </w:tc>
        <w:tc>
          <w:p>
            <w:pPr>
              <w:pStyle w:val="Compact"/>
              <w:jc w:val="left"/>
            </w:pPr>
            <w:r>
              <w:rPr>
                <w:b/>
              </w:rPr>
              <w:t xml:space="preserve">100.0%</w:t>
            </w:r>
          </w:p>
        </w:tc>
        <w:tc>
          <w:p>
            <w:pPr>
              <w:pStyle w:val="Compact"/>
              <w:jc w:val="left"/>
            </w:pPr>
            <w:r>
              <w:t xml:space="preserve">—</w:t>
            </w:r>
          </w:p>
        </w:tc>
      </w:tr>
    </w:tbl>
    <w:p>
      <w:pPr>
        <w:pStyle w:val="BodyText"/>
      </w:pPr>
      <w:r>
        <w:rPr>
          <w:b/>
        </w:rPr>
        <w:t xml:space="preserve">Equity Composition:</w:t>
      </w:r>
    </w:p>
    <w:tbl>
      <w:tblPr>
        <w:tblStyle w:val="Table"/>
        <w:tblW w:type="pct" w:w="0.0"/>
        <w:tblLook w:firstRow="1"/>
      </w:tblPr>
      <w:tblGrid/>
      <w:tr>
        <w:trPr>
          <w:cnfStyle w:firstRow="1"/>
        </w:trPr>
        <w:tc>
          <w:tcPr>
            <w:tcBorders>
              <w:bottom w:val="single"/>
            </w:tcBorders>
            <w:vAlign w:val="bottom"/>
          </w:tcPr>
          <w:p>
            <w:pPr>
              <w:pStyle w:val="Compact"/>
              <w:jc w:val="left"/>
            </w:pPr>
            <w:r>
              <w:t xml:space="preserve">Item</w:t>
            </w:r>
          </w:p>
        </w:tc>
        <w:tc>
          <w:tcPr>
            <w:tcBorders>
              <w:bottom w:val="single"/>
            </w:tcBorders>
            <w:vAlign w:val="bottom"/>
          </w:tcPr>
          <w:p>
            <w:pPr>
              <w:pStyle w:val="Compact"/>
              <w:jc w:val="left"/>
            </w:pPr>
            <w:r>
              <w:t xml:space="preserve">Amount ($M)</w:t>
            </w:r>
          </w:p>
        </w:tc>
      </w:tr>
      <w:tr>
        <w:tc>
          <w:p>
            <w:pPr>
              <w:pStyle w:val="Compact"/>
              <w:jc w:val="left"/>
            </w:pPr>
            <w:r>
              <w:t xml:space="preserve">Common Stock</w:t>
            </w:r>
          </w:p>
        </w:tc>
        <w:tc>
          <w:p>
            <w:pPr>
              <w:pStyle w:val="Compact"/>
              <w:jc w:val="left"/>
            </w:pPr>
            <w:r>
              <w:t xml:space="preserve">~$1.0</w:t>
            </w:r>
          </w:p>
        </w:tc>
      </w:tr>
      <w:tr>
        <w:tc>
          <w:p>
            <w:pPr>
              <w:pStyle w:val="Compact"/>
              <w:jc w:val="left"/>
            </w:pPr>
            <w:r>
              <w:t xml:space="preserve">Paid-in Capital</w:t>
            </w:r>
          </w:p>
        </w:tc>
        <w:tc>
          <w:p>
            <w:pPr>
              <w:pStyle w:val="Compact"/>
              <w:jc w:val="left"/>
            </w:pPr>
            <w:r>
              <w:t xml:space="preserve">~$8,000.0</w:t>
            </w:r>
          </w:p>
        </w:tc>
      </w:tr>
      <w:tr>
        <w:tc>
          <w:p>
            <w:pPr>
              <w:pStyle w:val="Compact"/>
              <w:jc w:val="left"/>
            </w:pPr>
            <w:r>
              <w:t xml:space="preserve">Retained Earnings</w:t>
            </w:r>
          </w:p>
        </w:tc>
        <w:tc>
          <w:p>
            <w:pPr>
              <w:pStyle w:val="Compact"/>
              <w:jc w:val="left"/>
            </w:pPr>
            <w:r>
              <w:t xml:space="preserve">~</w:t>
            </w:r>
            <m:oMath>
              <m:r>
                <m:t>12</m:t>
              </m:r>
              <m:r>
                <m:t>,</m:t>
              </m:r>
              <m:r>
                <m:t>000.0</m:t>
              </m:r>
              <m:r>
                <m:t>|</m:t>
              </m:r>
              <m:r>
                <m:t>|</m:t>
              </m:r>
              <m:r>
                <m:t>T</m:t>
              </m:r>
              <m:r>
                <m:t>r</m:t>
              </m:r>
              <m:r>
                <m:t>e</m:t>
              </m:r>
              <m:r>
                <m:t>a</m:t>
              </m:r>
              <m:r>
                <m:t>s</m:t>
              </m:r>
              <m:r>
                <m:t>u</m:t>
              </m:r>
              <m:r>
                <m:t>r</m:t>
              </m:r>
              <m:r>
                <m:t>y</m:t>
              </m:r>
              <m:r>
                <m:t>S</m:t>
              </m:r>
              <m:r>
                <m:t>t</m:t>
              </m:r>
              <m:r>
                <m:t>o</m:t>
              </m:r>
              <m:r>
                <m:t>c</m:t>
              </m:r>
              <m:r>
                <m:t>k</m:t>
              </m:r>
              <m:r>
                <m:t>|</m:t>
              </m:r>
              <m:r>
                <m:t> </m:t>
              </m:r>
            </m:oMath>
            <w:r>
              <w:t xml:space="preserve">(100.0)</w:t>
            </w:r>
          </w:p>
        </w:tc>
      </w:tr>
      <w:tr>
        <w:tc>
          <w:p>
            <w:pPr>
              <w:pStyle w:val="Compact"/>
              <w:jc w:val="left"/>
            </w:pPr>
            <w:r>
              <w:t xml:space="preserve">Accumulated Other Comprehensive Loss</w:t>
            </w:r>
          </w:p>
        </w:tc>
        <w:tc>
          <w:p>
            <w:pPr>
              <w:pStyle w:val="Compact"/>
              <w:jc w:val="left"/>
            </w:pPr>
            <w:r>
              <w:t xml:space="preserve">~$(18.0)</w:t>
            </w:r>
          </w:p>
        </w:tc>
      </w:tr>
      <w:tr>
        <w:tc>
          <w:p>
            <w:pPr>
              <w:pStyle w:val="Compact"/>
              <w:jc w:val="left"/>
            </w:pPr>
            <w:r>
              <w:rPr>
                <w:b/>
              </w:rPr>
              <w:t xml:space="preserve">TOTAL SHAREHOLDERS’ EQUITY</w:t>
            </w:r>
          </w:p>
        </w:tc>
        <w:tc>
          <w:p>
            <w:pPr>
              <w:pStyle w:val="Compact"/>
              <w:jc w:val="left"/>
            </w:pPr>
            <w:r>
              <w:rPr>
                <w:b/>
              </w:rPr>
              <w:t xml:space="preserve">$19,882.0</w:t>
            </w:r>
          </w:p>
        </w:tc>
      </w:tr>
    </w:tbl>
    <w:p>
      <w:pPr>
        <w:pStyle w:val="BodyText"/>
      </w:pPr>
      <w:r>
        <w:rPr>
          <w:b/>
        </w:rPr>
        <w:t xml:space="preserve">Book Value Per Share:</w:t>
      </w:r>
    </w:p>
    <w:p>
      <w:pPr>
        <w:pStyle w:val="BodyText"/>
      </w:pPr>
      <m:oMathPara>
        <m:oMathParaPr>
          <m:jc m:val="center"/>
        </m:oMathParaPr>
        <m:oMath>
          <m:f>
            <m:fPr>
              <m:type m:val="bar"/>
            </m:fPr>
            <m:num>
              <m:r>
                <m:t>$</m:t>
              </m:r>
              <m:r>
                <m:t>19</m:t>
              </m:r>
              <m:r>
                <m:t>,</m:t>
              </m:r>
              <m:r>
                <m:t>882</m:t>
              </m:r>
              <m:r>
                <m:t>M</m:t>
              </m:r>
            </m:num>
            <m:den>
              <m:r>
                <m:t>108.2</m:t>
              </m:r>
              <m:r>
                <m:t>M</m:t>
              </m:r>
              <m:r>
                <m:rPr>
                  <m:nor/>
                  <m:sty m:val="p"/>
                </m:rPr>
                <m:t> shares</m:t>
              </m:r>
            </m:den>
          </m:f>
          <m:r>
            <m:t>=</m:t>
          </m:r>
          <m:r>
            <m:t>$</m:t>
          </m:r>
          <m:r>
            <m:t>183.76</m:t>
          </m:r>
        </m:oMath>
      </m:oMathPara>
    </w:p>
    <w:p>
      <w:r>
        <w:pict>
          <v:rect style="width:0;height:1.5pt" o:hralign="center" o:hrstd="t" o:hr="t"/>
        </w:pict>
      </w:r>
    </w:p>
    <w:p>
      <w:pPr>
        <w:pStyle w:val="Heading4"/>
      </w:pPr>
      <w:bookmarkStart w:id="90" w:name="leverage-metrics-and-debt-structure"/>
      <w:r>
        <w:rPr>
          <w:b/>
        </w:rPr>
        <w:t xml:space="preserve">Leverage Metrics and Debt Structure:</w:t>
      </w:r>
      <w:bookmarkEnd w:id="90"/>
    </w:p>
    <w:tbl>
      <w:tblPr>
        <w:tblStyle w:val="Table"/>
        <w:tblW w:type="pct" w:w="0.0"/>
        <w:tblLook w:firstRow="1"/>
      </w:tblPr>
      <w:tblGrid/>
      <w:tr>
        <w:trPr>
          <w:cnfStyle w:firstRow="1"/>
        </w:trPr>
        <w:tc>
          <w:tcPr>
            <w:tcBorders>
              <w:bottom w:val="single"/>
            </w:tcBorders>
            <w:vAlign w:val="bottom"/>
          </w:tcPr>
          <w:p>
            <w:pPr>
              <w:pStyle w:val="Compact"/>
              <w:jc w:val="left"/>
            </w:pPr>
            <w:r>
              <w:t xml:space="preserve">Metric</w:t>
            </w:r>
          </w:p>
        </w:tc>
        <w:tc>
          <w:tcPr>
            <w:tcBorders>
              <w:bottom w:val="single"/>
            </w:tcBorders>
            <w:vAlign w:val="bottom"/>
          </w:tcPr>
          <w:p>
            <w:pPr>
              <w:pStyle w:val="Compact"/>
              <w:jc w:val="left"/>
            </w:pPr>
            <w:r>
              <w:t xml:space="preserve">FY2025</w:t>
            </w:r>
          </w:p>
        </w:tc>
        <w:tc>
          <w:tcPr>
            <w:tcBorders>
              <w:bottom w:val="single"/>
            </w:tcBorders>
            <w:vAlign w:val="bottom"/>
          </w:tcPr>
          <w:p>
            <w:pPr>
              <w:pStyle w:val="Compact"/>
              <w:jc w:val="left"/>
            </w:pPr>
            <w:r>
              <w:t xml:space="preserve">Target Range</w:t>
            </w:r>
          </w:p>
        </w:tc>
        <w:tc>
          <w:tcPr>
            <w:tcBorders>
              <w:bottom w:val="single"/>
            </w:tcBorders>
            <w:vAlign w:val="bottom"/>
          </w:tcPr>
          <w:p>
            <w:pPr>
              <w:pStyle w:val="Compact"/>
              <w:jc w:val="left"/>
            </w:pPr>
            <w:r>
              <w:t xml:space="preserve">Assessment</w:t>
            </w:r>
          </w:p>
        </w:tc>
      </w:tr>
      <w:tr>
        <w:tc>
          <w:p>
            <w:pPr>
              <w:pStyle w:val="Compact"/>
              <w:jc w:val="left"/>
            </w:pPr>
            <w:r>
              <w:rPr>
                <w:b/>
              </w:rPr>
              <w:t xml:space="preserve">Total Debt</w:t>
            </w:r>
          </w:p>
        </w:tc>
        <w:tc>
          <w:p>
            <w:pPr>
              <w:pStyle w:val="Compact"/>
              <w:jc w:val="left"/>
            </w:pPr>
            <w:r>
              <w:t xml:space="preserve">$10,151M</w:t>
            </w:r>
          </w:p>
        </w:tc>
        <w:tc>
          <w:p>
            <w:pPr>
              <w:pStyle w:val="Compact"/>
              <w:jc w:val="left"/>
            </w:pPr>
            <w:r>
              <w:t xml:space="preserve">—</w:t>
            </w:r>
          </w:p>
        </w:tc>
        <w:tc>
          <w:p>
            <w:pPr>
              <w:pStyle w:val="Compact"/>
              <w:jc w:val="left"/>
            </w:pPr>
            <w:r>
              <w:t xml:space="preserve">—</w:t>
            </w:r>
          </w:p>
        </w:tc>
      </w:tr>
      <w:tr>
        <w:tc>
          <w:p>
            <w:pPr>
              <w:pStyle w:val="Compact"/>
              <w:jc w:val="left"/>
            </w:pPr>
            <w:r>
              <w:rPr>
                <w:b/>
              </w:rPr>
              <w:t xml:space="preserve">Less: Cash</w:t>
            </w:r>
          </w:p>
        </w:tc>
        <w:tc>
          <w:p>
            <w:pPr>
              <w:pStyle w:val="Compact"/>
              <w:jc w:val="left"/>
            </w:pPr>
            <w:r>
              <w:t xml:space="preserve">$(297.4)M</w:t>
            </w:r>
          </w:p>
        </w:tc>
        <w:tc>
          <w:p>
            <w:pPr>
              <w:pStyle w:val="Compact"/>
              <w:jc w:val="left"/>
            </w:pPr>
            <w:r>
              <w:t xml:space="preserve">—</w:t>
            </w:r>
          </w:p>
        </w:tc>
        <w:tc>
          <w:p>
            <w:pPr>
              <w:pStyle w:val="Compact"/>
              <w:jc w:val="left"/>
            </w:pPr>
            <w:r>
              <w:t xml:space="preserve">—</w:t>
            </w:r>
          </w:p>
        </w:tc>
      </w:tr>
      <w:tr>
        <w:tc>
          <w:p>
            <w:pPr>
              <w:pStyle w:val="Compact"/>
              <w:jc w:val="left"/>
            </w:pPr>
            <w:r>
              <w:rPr>
                <w:b/>
              </w:rPr>
              <w:t xml:space="preserve">Net Debt</w:t>
            </w:r>
          </w:p>
        </w:tc>
        <w:tc>
          <w:p>
            <w:pPr>
              <w:pStyle w:val="Compact"/>
              <w:jc w:val="left"/>
            </w:pPr>
            <w:r>
              <w:t xml:space="preserve">$9,853.6M</w:t>
            </w:r>
          </w:p>
        </w:tc>
        <w:tc>
          <w:p>
            <w:pPr>
              <w:pStyle w:val="Compact"/>
              <w:jc w:val="left"/>
            </w:pPr>
            <w:r>
              <w:t xml:space="preserve">—</w:t>
            </w:r>
          </w:p>
        </w:tc>
        <w:tc>
          <w:p>
            <w:pPr>
              <w:pStyle w:val="Compact"/>
              <w:jc w:val="left"/>
            </w:pPr>
            <w:r>
              <w:t xml:space="preserve">—</w:t>
            </w:r>
          </w:p>
        </w:tc>
      </w:tr>
      <w:tr>
        <w:tc>
          <w:p>
            <w:pPr>
              <w:pStyle w:val="Compact"/>
              <w:jc w:val="left"/>
            </w:pPr>
            <w:r>
              <w:rPr>
                <w:b/>
              </w:rPr>
              <w:t xml:space="preserve">Adj. EBITDA</w:t>
            </w:r>
          </w:p>
        </w:tc>
        <w:tc>
          <w:p>
            <w:pPr>
              <w:pStyle w:val="Compact"/>
              <w:jc w:val="left"/>
            </w:pPr>
            <w:r>
              <w:t xml:space="preserve">$3,143.0M</w:t>
            </w:r>
          </w:p>
        </w:tc>
        <w:tc>
          <w:p>
            <w:pPr>
              <w:pStyle w:val="Compact"/>
              <w:jc w:val="left"/>
            </w:pPr>
            <w:r>
              <w:t xml:space="preserve">—</w:t>
            </w:r>
          </w:p>
        </w:tc>
        <w:tc>
          <w:p>
            <w:pPr>
              <w:pStyle w:val="Compact"/>
              <w:jc w:val="left"/>
            </w:pPr>
            <w:r>
              <w:t xml:space="preserve">—</w:t>
            </w:r>
          </w:p>
        </w:tc>
      </w:tr>
      <w:tr>
        <w:tc>
          <w:p>
            <w:pPr>
              <w:pStyle w:val="Compact"/>
              <w:jc w:val="left"/>
            </w:pPr>
            <w:r>
              <w:rPr>
                <w:b/>
              </w:rPr>
              <w:t xml:space="preserve">Net Debt / EBITDA</w:t>
            </w:r>
          </w:p>
        </w:tc>
        <w:tc>
          <w:p>
            <w:pPr>
              <w:pStyle w:val="Compact"/>
              <w:jc w:val="left"/>
            </w:pPr>
            <w:r>
              <w:rPr>
                <w:b/>
              </w:rPr>
              <w:t xml:space="preserve">3.14x</w:t>
            </w:r>
          </w:p>
        </w:tc>
        <w:tc>
          <w:p>
            <w:pPr>
              <w:pStyle w:val="Compact"/>
              <w:jc w:val="left"/>
            </w:pPr>
            <w:r>
              <w:t xml:space="preserve">2.5–3.0x</w:t>
            </w:r>
          </w:p>
        </w:tc>
        <w:tc>
          <w:p>
            <w:pPr>
              <w:pStyle w:val="Compact"/>
              <w:jc w:val="left"/>
            </w:pPr>
            <w:r>
              <w:t xml:space="preserve">Slightly elevated; within tolerance</w:t>
            </w:r>
          </w:p>
        </w:tc>
      </w:tr>
      <w:tr>
        <w:tc>
          <w:p>
            <w:pPr>
              <w:pStyle w:val="Compact"/>
              <w:jc w:val="left"/>
            </w:pPr>
            <w:r>
              <w:rPr>
                <w:b/>
              </w:rPr>
              <w:t xml:space="preserve">Gross Debt / EBITDA</w:t>
            </w:r>
          </w:p>
        </w:tc>
        <w:tc>
          <w:p>
            <w:pPr>
              <w:pStyle w:val="Compact"/>
              <w:jc w:val="left"/>
            </w:pPr>
            <w:r>
              <w:rPr>
                <w:b/>
              </w:rPr>
              <w:t xml:space="preserve">3.23x</w:t>
            </w:r>
          </w:p>
        </w:tc>
        <w:tc>
          <w:p>
            <w:pPr>
              <w:pStyle w:val="Compact"/>
              <w:jc w:val="left"/>
            </w:pPr>
            <w:r>
              <w:t xml:space="preserve">&lt;3.5x</w:t>
            </w:r>
          </w:p>
        </w:tc>
        <w:tc>
          <w:p>
            <w:pPr>
              <w:pStyle w:val="Compact"/>
              <w:jc w:val="left"/>
            </w:pPr>
            <w:r>
              <w:t xml:space="preserve">Healthy</w:t>
            </w:r>
          </w:p>
        </w:tc>
      </w:tr>
      <w:tr>
        <w:tc>
          <w:p>
            <w:pPr>
              <w:pStyle w:val="Compact"/>
              <w:jc w:val="left"/>
            </w:pPr>
            <w:r>
              <w:rPr>
                <w:b/>
              </w:rPr>
              <w:t xml:space="preserve">Total Debt / Capitalization</w:t>
            </w:r>
          </w:p>
        </w:tc>
        <w:tc>
          <w:p>
            <w:pPr>
              <w:pStyle w:val="Compact"/>
              <w:jc w:val="left"/>
            </w:pPr>
            <w:r>
              <w:rPr>
                <w:b/>
              </w:rPr>
              <w:t xml:space="preserve">33.8%</w:t>
            </w:r>
          </w:p>
        </w:tc>
        <w:tc>
          <w:p>
            <w:pPr>
              <w:pStyle w:val="Compact"/>
              <w:jc w:val="left"/>
            </w:pPr>
            <w:r>
              <w:t xml:space="preserve">25–35%</w:t>
            </w:r>
          </w:p>
        </w:tc>
        <w:tc>
          <w:p>
            <w:pPr>
              <w:pStyle w:val="Compact"/>
              <w:jc w:val="left"/>
            </w:pPr>
            <w:r>
              <w:t xml:space="preserve">Moderate</w:t>
            </w:r>
          </w:p>
        </w:tc>
      </w:tr>
      <w:tr>
        <w:tc>
          <w:p>
            <w:pPr>
              <w:pStyle w:val="Compact"/>
              <w:jc w:val="left"/>
            </w:pPr>
            <w:r>
              <w:rPr>
                <w:b/>
              </w:rPr>
              <w:t xml:space="preserve">Interest Coverage (EBITDA / Interest)</w:t>
            </w:r>
          </w:p>
        </w:tc>
        <w:tc>
          <w:p>
            <w:pPr>
              <w:pStyle w:val="Compact"/>
              <w:jc w:val="left"/>
            </w:pPr>
            <w:r>
              <w:rPr>
                <w:b/>
              </w:rPr>
              <w:t xml:space="preserve">9.7x</w:t>
            </w:r>
          </w:p>
        </w:tc>
        <w:tc>
          <w:p>
            <w:pPr>
              <w:pStyle w:val="Compact"/>
              <w:jc w:val="left"/>
            </w:pPr>
            <w:r>
              <w:t xml:space="preserve">&gt;6.0x</w:t>
            </w:r>
          </w:p>
        </w:tc>
        <w:tc>
          <w:p>
            <w:pPr>
              <w:pStyle w:val="Compact"/>
              <w:jc w:val="left"/>
            </w:pPr>
            <w:r>
              <w:t xml:space="preserve">Strong</w:t>
            </w:r>
          </w:p>
        </w:tc>
      </w:tr>
      <w:tr>
        <w:tc>
          <w:p>
            <w:pPr>
              <w:pStyle w:val="Compact"/>
              <w:jc w:val="left"/>
            </w:pPr>
            <w:r>
              <w:rPr>
                <w:b/>
              </w:rPr>
              <w:t xml:space="preserve">Debt Maturity Profile (est.)</w:t>
            </w:r>
          </w:p>
        </w:tc>
        <w:tc>
          <w:p/>
        </w:tc>
        <w:tc>
          <w:p/>
        </w:tc>
        <w:tc>
          <w:p/>
        </w:tc>
      </w:tr>
      <w:tr>
        <w:tc>
          <w:p>
            <w:pPr>
              <w:pStyle w:val="Compact"/>
              <w:jc w:val="left"/>
            </w:pPr>
            <w:r>
              <w:t xml:space="preserve">— Due 2026</w:t>
            </w:r>
          </w:p>
        </w:tc>
        <w:tc>
          <w:p>
            <w:pPr>
              <w:pStyle w:val="Compact"/>
              <w:jc w:val="left"/>
            </w:pPr>
            <w:r>
              <w:t xml:space="preserve">$705M</w:t>
            </w:r>
          </w:p>
        </w:tc>
        <w:tc>
          <w:p>
            <w:pPr>
              <w:pStyle w:val="Compact"/>
              <w:jc w:val="left"/>
            </w:pPr>
            <w:r>
              <w:t xml:space="preserve">—</w:t>
            </w:r>
          </w:p>
        </w:tc>
        <w:tc>
          <w:p>
            <w:pPr>
              <w:pStyle w:val="Compact"/>
              <w:jc w:val="left"/>
            </w:pPr>
            <w:r>
              <w:t xml:space="preserve">7.0% of total debt</w:t>
            </w:r>
          </w:p>
        </w:tc>
      </w:tr>
      <w:tr>
        <w:tc>
          <w:p>
            <w:pPr>
              <w:pStyle w:val="Compact"/>
              <w:jc w:val="left"/>
            </w:pPr>
            <w:r>
              <w:t xml:space="preserve">— Due 2027–2028</w:t>
            </w:r>
          </w:p>
        </w:tc>
        <w:tc>
          <w:p>
            <w:pPr>
              <w:pStyle w:val="Compact"/>
              <w:jc w:val="left"/>
            </w:pPr>
            <w:r>
              <w:t xml:space="preserve">$2,500M</w:t>
            </w:r>
          </w:p>
        </w:tc>
        <w:tc>
          <w:p>
            <w:pPr>
              <w:pStyle w:val="Compact"/>
              <w:jc w:val="left"/>
            </w:pPr>
            <w:r>
              <w:t xml:space="preserve">—</w:t>
            </w:r>
          </w:p>
        </w:tc>
        <w:tc>
          <w:p>
            <w:pPr>
              <w:pStyle w:val="Compact"/>
              <w:jc w:val="left"/>
            </w:pPr>
            <w:r>
              <w:t xml:space="preserve">24.6% of total debt</w:t>
            </w:r>
          </w:p>
        </w:tc>
      </w:tr>
      <w:tr>
        <w:tc>
          <w:p>
            <w:pPr>
              <w:pStyle w:val="Compact"/>
              <w:jc w:val="left"/>
            </w:pPr>
            <w:r>
              <w:t xml:space="preserve">— Due 2029–2032</w:t>
            </w:r>
          </w:p>
        </w:tc>
        <w:tc>
          <w:p>
            <w:pPr>
              <w:pStyle w:val="Compact"/>
              <w:jc w:val="left"/>
            </w:pPr>
            <w:r>
              <w:t xml:space="preserve">$6,946M</w:t>
            </w:r>
          </w:p>
        </w:tc>
        <w:tc>
          <w:p>
            <w:pPr>
              <w:pStyle w:val="Compact"/>
              <w:jc w:val="left"/>
            </w:pPr>
            <w:r>
              <w:t xml:space="preserve">—</w:t>
            </w:r>
          </w:p>
        </w:tc>
        <w:tc>
          <w:p>
            <w:pPr>
              <w:pStyle w:val="Compact"/>
              <w:jc w:val="left"/>
            </w:pPr>
            <w:r>
              <w:t xml:space="preserve">68.4% of total debt</w:t>
            </w:r>
          </w:p>
        </w:tc>
      </w:tr>
    </w:tbl>
    <w:p>
      <w:pPr>
        <w:pStyle w:val="BodyText"/>
      </w:pPr>
      <w:r>
        <w:rPr>
          <w:b/>
        </w:rPr>
        <w:t xml:space="preserve">Debt Structure (Estimated from 10-K disclosures):</w:t>
      </w:r>
    </w:p>
    <w:p>
      <w:pPr>
        <w:pStyle w:val="BodyText"/>
      </w:pPr>
      <w:r>
        <w:t xml:space="preserve">ROP carries a tiered debt structure:</w:t>
      </w:r>
      <w:r>
        <w:t xml:space="preserve"> </w:t>
      </w:r>
      <w:r>
        <w:t xml:space="preserve">1.</w:t>
      </w:r>
      <w:r>
        <w:t xml:space="preserve"> </w:t>
      </w:r>
      <w:r>
        <w:rPr>
          <w:b/>
        </w:rPr>
        <w:t xml:space="preserve">Revolver ($3.5B facility):</w:t>
      </w:r>
      <w:r>
        <w:t xml:space="preserve"> </w:t>
      </w:r>
      <w:r>
        <w:t xml:space="preserve">$850M drawn, $2.65B available. Used for working capital and opportunistic M&amp;A.</w:t>
      </w:r>
      <w:r>
        <w:t xml:space="preserve"> </w:t>
      </w:r>
      <w:r>
        <w:t xml:space="preserve">2.</w:t>
      </w:r>
      <w:r>
        <w:t xml:space="preserve"> </w:t>
      </w:r>
      <w:r>
        <w:rPr>
          <w:b/>
        </w:rPr>
        <w:t xml:space="preserve">Senior Term Loan (likely $5–6B):</w:t>
      </w:r>
      <w:r>
        <w:t xml:space="preserve"> </w:t>
      </w:r>
      <w:r>
        <w:t xml:space="preserve">Fixed or floating; matures 2030s. Acquired debt from CentralReach/Subsplash acquisitions.</w:t>
      </w:r>
      <w:r>
        <w:t xml:space="preserve"> </w:t>
      </w:r>
      <w:r>
        <w:t xml:space="preserve">3.</w:t>
      </w:r>
      <w:r>
        <w:t xml:space="preserve"> </w:t>
      </w:r>
      <w:r>
        <w:rPr>
          <w:b/>
        </w:rPr>
        <w:t xml:space="preserve">Senior Notes (likely $3–4B):</w:t>
      </w:r>
      <w:r>
        <w:t xml:space="preserve"> </w:t>
      </w:r>
      <w:r>
        <w:t xml:space="preserve">Investment-grade rated; matures 2028–2032. Public debt market instruments.</w:t>
      </w:r>
    </w:p>
    <w:p>
      <w:pPr>
        <w:pStyle w:val="BodyText"/>
      </w:pPr>
      <w:r>
        <w:rPr>
          <w:b/>
        </w:rPr>
        <w:t xml:space="preserve">Credit Rating Outlook (Implied from Leverage):</w:t>
      </w:r>
    </w:p>
    <w:p>
      <w:pPr>
        <w:pStyle w:val="BodyText"/>
      </w:pPr>
      <w:r>
        <w:t xml:space="preserve">Net debt/EBITDA of 3.1x suggests</w:t>
      </w:r>
      <w:r>
        <w:t xml:space="preserve"> </w:t>
      </w:r>
      <w:r>
        <w:rPr>
          <w:b/>
        </w:rPr>
        <w:t xml:space="preserve">BB+ to BBB−</w:t>
      </w:r>
      <w:r>
        <w:t xml:space="preserve"> </w:t>
      </w:r>
      <w:r>
        <w:t xml:space="preserve">rating (S&amp;P/Moody’s scale). This is consistent with mid-size software companies with moderate leverage and strong FCF generation. ⚠️ [USER INPUT REQUIRED — Actual rating not provided in supplied data; verify from S&amp;P/Moody’s/Fitch websites.]</w:t>
      </w:r>
    </w:p>
    <w:p>
      <w:r>
        <w:pict>
          <v:rect style="width:0;height:1.5pt" o:hralign="center" o:hrstd="t" o:hr="t"/>
        </w:pict>
      </w:r>
    </w:p>
    <w:p>
      <w:pPr>
        <w:pStyle w:val="Heading3"/>
      </w:pPr>
      <w:bookmarkStart w:id="91" w:name="X56d029497d3aa1ca6382825db43cbcd183a498d"/>
      <w:r>
        <w:t xml:space="preserve">5E. Return on Equity and ROIC Decomposition</w:t>
      </w:r>
      <w:bookmarkEnd w:id="91"/>
    </w:p>
    <w:p>
      <w:pPr>
        <w:pStyle w:val="Heading4"/>
      </w:pPr>
      <w:bookmarkStart w:id="92" w:name="return-on-equity-roe-analysis"/>
      <w:r>
        <w:rPr>
          <w:b/>
        </w:rPr>
        <w:t xml:space="preserve">Return on Equity (ROE) Analysis:</w:t>
      </w:r>
      <w:bookmarkEnd w:id="92"/>
    </w:p>
    <w:p>
      <w:pPr>
        <w:pStyle w:val="FirstParagraph"/>
      </w:pPr>
      <m:oMathPara>
        <m:oMathParaPr>
          <m:jc m:val="center"/>
        </m:oMathParaPr>
        <m:oMath>
          <m:r>
            <m:rPr>
              <m:nor/>
              <m:sty m:val="p"/>
            </m:rPr>
            <m:t>ROE (FY2025, GAAP)</m:t>
          </m:r>
          <m:r>
            <m:t>=</m:t>
          </m:r>
          <m:f>
            <m:fPr>
              <m:type m:val="bar"/>
            </m:fPr>
            <m:num>
              <m:r>
                <m:rPr>
                  <m:nor/>
                  <m:sty m:val="p"/>
                </m:rPr>
                <m:t>Net Income</m:t>
              </m:r>
            </m:num>
            <m:den>
              <m:r>
                <m:rPr>
                  <m:nor/>
                  <m:sty m:val="p"/>
                </m:rPr>
                <m:t>Average Shareholders’ Equity</m:t>
              </m:r>
            </m:den>
          </m:f>
          <m:r>
            <m:t>=</m:t>
          </m:r>
          <m:f>
            <m:fPr>
              <m:type m:val="bar"/>
            </m:fPr>
            <m:num>
              <m:r>
                <m:t>$</m:t>
              </m:r>
              <m:r>
                <m:t>1</m:t>
              </m:r>
              <m:r>
                <m:t>,</m:t>
              </m:r>
              <m:r>
                <m:t>536.3</m:t>
              </m:r>
              <m:r>
                <m:t>M</m:t>
              </m:r>
            </m:num>
            <m:den>
              <m:r>
                <m:t>$</m:t>
              </m:r>
              <m:r>
                <m:t>19</m:t>
              </m:r>
              <m:r>
                <m:t>,</m:t>
              </m:r>
              <m:r>
                <m:t>882</m:t>
              </m:r>
              <m:r>
                <m:t>M</m:t>
              </m:r>
            </m:den>
          </m:f>
          <m:r>
            <m:t>=</m:t>
          </m:r>
          <m:borderBox>
            <m:e>
              <m:r>
                <m:t>7.7</m:t>
              </m:r>
              <m:r>
                <m:t>%</m:t>
              </m:r>
            </m:e>
          </m:borderBox>
        </m:oMath>
      </m:oMathPara>
    </w:p>
    <w:p>
      <w:pPr>
        <w:pStyle w:val="FirstParagraph"/>
      </w:pPr>
      <m:oMathPara>
        <m:oMathParaPr>
          <m:jc m:val="center"/>
        </m:oMathParaPr>
        <m:oMath>
          <m:r>
            <m:rPr>
              <m:nor/>
              <m:sty m:val="p"/>
            </m:rPr>
            <m:t>ROE (FY2025, Adjusted)</m:t>
          </m:r>
          <m:r>
            <m:t>=</m:t>
          </m:r>
          <m:f>
            <m:fPr>
              <m:type m:val="bar"/>
            </m:fPr>
            <m:num>
              <m:r>
                <m:rPr>
                  <m:nor/>
                  <m:sty m:val="p"/>
                </m:rPr>
                <m:t>Adj. Net Earnings</m:t>
              </m:r>
            </m:num>
            <m:den>
              <m:r>
                <m:rPr>
                  <m:nor/>
                  <m:sty m:val="p"/>
                </m:rPr>
                <m:t>Average Shareholders’ Equity</m:t>
              </m:r>
            </m:den>
          </m:f>
          <m:r>
            <m:t>=</m:t>
          </m:r>
          <m:f>
            <m:fPr>
              <m:type m:val="bar"/>
            </m:fPr>
            <m:num>
              <m:r>
                <m:t>$</m:t>
              </m:r>
              <m:r>
                <m:t>2</m:t>
              </m:r>
              <m:r>
                <m:t>,</m:t>
              </m:r>
              <m:r>
                <m:t>163</m:t>
              </m:r>
              <m:r>
                <m:t>M</m:t>
              </m:r>
            </m:num>
            <m:den>
              <m:r>
                <m:t>$</m:t>
              </m:r>
              <m:r>
                <m:t>19</m:t>
              </m:r>
              <m:r>
                <m:t>,</m:t>
              </m:r>
              <m:r>
                <m:t>882</m:t>
              </m:r>
              <m:r>
                <m:t>M</m:t>
              </m:r>
            </m:den>
          </m:f>
          <m:r>
            <m:t>=</m:t>
          </m:r>
          <m:borderBox>
            <m:e>
              <m:r>
                <m:t>10.9</m:t>
              </m:r>
              <m:r>
                <m:t>%</m:t>
              </m:r>
            </m:e>
          </m:borderBox>
        </m:oMath>
      </m:oMathPara>
    </w:p>
    <w:p>
      <w:pPr>
        <w:pStyle w:val="FirstParagraph"/>
      </w:pPr>
      <w:r>
        <w:rPr>
          <w:b/>
        </w:rPr>
        <w:t xml:space="preserve">Interpretation:</w:t>
      </w:r>
      <w:r>
        <w:t xml:space="preserve"> </w:t>
      </w:r>
      <w:r>
        <w:t xml:space="preserve">-</w:t>
      </w:r>
      <w:r>
        <w:t xml:space="preserve"> </w:t>
      </w:r>
      <w:r>
        <w:rPr>
          <w:b/>
        </w:rPr>
        <w:t xml:space="preserve">GAAP ROE (7.7%)</w:t>
      </w:r>
      <w:r>
        <w:t xml:space="preserve"> </w:t>
      </w:r>
      <w:r>
        <w:t xml:space="preserve">is below cost of equity (assumed 9–10%), indicating value destruction on a GAAP basis.</w:t>
      </w:r>
      <w:r>
        <w:t xml:space="preserve"> </w:t>
      </w:r>
      <w:r>
        <w:t xml:space="preserve">-</w:t>
      </w:r>
      <w:r>
        <w:t xml:space="preserve"> </w:t>
      </w:r>
      <w:r>
        <w:rPr>
          <w:b/>
        </w:rPr>
        <w:t xml:space="preserve">Adjusted ROE (10.9%)</w:t>
      </w:r>
      <w:r>
        <w:t xml:space="preserve"> </w:t>
      </w:r>
      <w:r>
        <w:t xml:space="preserve">is slightly above cost of equity, indicating modest value creation after removing non-cash amortization and SBC charges.</w:t>
      </w:r>
      <w:r>
        <w:t xml:space="preserve"> </w:t>
      </w:r>
      <w:r>
        <w:t xml:space="preserve">- The gap between GAAP and adjusted (320 bps) reflects the impact of $858M intangible amortization and $166M SBC on net income.</w:t>
      </w:r>
    </w:p>
    <w:p>
      <w:pPr>
        <w:pStyle w:val="BodyText"/>
      </w:pPr>
      <w:r>
        <w:rPr>
          <w:b/>
        </w:rPr>
        <w:t xml:space="preserve">DuPont Decomposition (Adjusted):</w:t>
      </w:r>
    </w:p>
    <w:p>
      <w:pPr>
        <w:pStyle w:val="BodyText"/>
      </w:pPr>
      <m:oMathPara>
        <m:oMathParaPr>
          <m:jc m:val="center"/>
        </m:oMathParaPr>
        <m:oMath>
          <m:r>
            <m:rPr>
              <m:nor/>
              <m:sty m:val="p"/>
            </m:rPr>
            <m:t>ROE</m:t>
          </m:r>
          <m:r>
            <m:t>=</m:t>
          </m:r>
          <m:f>
            <m:fPr>
              <m:type m:val="bar"/>
            </m:fPr>
            <m:num>
              <m:r>
                <m:rPr>
                  <m:nor/>
                  <m:sty m:val="p"/>
                </m:rPr>
                <m:t>Net Margin</m:t>
              </m:r>
            </m:num>
            <m:den>
              <m:r>
                <m:rPr>
                  <m:nor/>
                  <m:sty m:val="p"/>
                </m:rPr>
                <m:t>Assets</m:t>
              </m:r>
            </m:den>
          </m:f>
          <m:r>
            <m:t>×</m:t>
          </m:r>
          <m:f>
            <m:fPr>
              <m:type m:val="bar"/>
            </m:fPr>
            <m:num>
              <m:r>
                <m:rPr>
                  <m:nor/>
                  <m:sty m:val="p"/>
                </m:rPr>
                <m:t>Assets</m:t>
              </m:r>
            </m:num>
            <m:den>
              <m:r>
                <m:rPr>
                  <m:nor/>
                  <m:sty m:val="p"/>
                </m:rPr>
                <m:t>Equity</m:t>
              </m:r>
            </m:den>
          </m:f>
        </m:oMath>
      </m:oMathPara>
    </w:p>
    <w:p>
      <w:pPr>
        <w:pStyle w:val="FirstParagraph"/>
      </w:pPr>
      <m:oMathPara>
        <m:oMathParaPr>
          <m:jc m:val="center"/>
        </m:oMathParaPr>
        <m:oMath>
          <m:r>
            <m:t>=</m:t>
          </m:r>
          <m:f>
            <m:fPr>
              <m:type m:val="bar"/>
            </m:fPr>
            <m:num>
              <m:r>
                <m:t>$</m:t>
              </m:r>
              <m:r>
                <m:t>2</m:t>
              </m:r>
              <m:r>
                <m:t>,</m:t>
              </m:r>
              <m:r>
                <m:t>163</m:t>
              </m:r>
              <m:r>
                <m:t>M</m:t>
              </m:r>
            </m:num>
            <m:den>
              <m:r>
                <m:t>$</m:t>
              </m:r>
              <m:r>
                <m:t>7</m:t>
              </m:r>
              <m:r>
                <m:t>,</m:t>
              </m:r>
              <m:r>
                <m:t>902.5</m:t>
              </m:r>
              <m:r>
                <m:t>M</m:t>
              </m:r>
            </m:den>
          </m:f>
          <m:r>
            <m:t>×</m:t>
          </m:r>
          <m:f>
            <m:fPr>
              <m:type m:val="bar"/>
            </m:fPr>
            <m:num>
              <m:r>
                <m:t>$</m:t>
              </m:r>
              <m:r>
                <m:t>34</m:t>
              </m:r>
              <m:r>
                <m:t>,</m:t>
              </m:r>
              <m:r>
                <m:t>577</m:t>
              </m:r>
              <m:r>
                <m:t>M</m:t>
              </m:r>
            </m:num>
            <m:den>
              <m:r>
                <m:t>$</m:t>
              </m:r>
              <m:r>
                <m:t>19</m:t>
              </m:r>
              <m:r>
                <m:t>,</m:t>
              </m:r>
              <m:r>
                <m:t>882</m:t>
              </m:r>
              <m:r>
                <m:t>M</m:t>
              </m:r>
            </m:den>
          </m:f>
        </m:oMath>
      </m:oMathPara>
    </w:p>
    <w:p>
      <w:pPr>
        <w:pStyle w:val="FirstParagraph"/>
      </w:pPr>
      <m:oMathPara>
        <m:oMathParaPr>
          <m:jc m:val="center"/>
        </m:oMathParaPr>
        <m:oMath>
          <m:r>
            <m:t>=</m:t>
          </m:r>
          <m:r>
            <m:t>27.4</m:t>
          </m:r>
          <m:r>
            <m:t>%</m:t>
          </m:r>
          <m:r>
            <m:t>×</m:t>
          </m:r>
          <m:r>
            <m:t>1.74</m:t>
          </m:r>
          <m:r>
            <m:t>=</m:t>
          </m:r>
          <m:borderBox>
            <m:e>
              <m:r>
                <m:t>47.7</m:t>
              </m:r>
              <m:r>
                <m:t>%</m:t>
              </m:r>
            </m:e>
          </m:borderBox>
        </m:oMath>
      </m:oMathPara>
    </w:p>
    <w:p>
      <w:pPr>
        <w:pStyle w:val="FirstParagraph"/>
      </w:pPr>
      <w:r>
        <w:rPr>
          <w:b/>
        </w:rPr>
        <w:t xml:space="preserve">Interpretation:</w:t>
      </w:r>
      <w:r>
        <w:t xml:space="preserve"> </w:t>
      </w:r>
      <w:r>
        <w:t xml:space="preserve">The blended decomposition is distorted by the goodwill/intangible asset base. A more meaningful decomposition uses</w:t>
      </w:r>
      <w:r>
        <w:t xml:space="preserve"> </w:t>
      </w:r>
      <w:r>
        <w:rPr>
          <w:b/>
        </w:rPr>
        <w:t xml:space="preserve">Tangible Equity</w:t>
      </w:r>
      <w:r>
        <w:t xml:space="preserve">:</w:t>
      </w:r>
    </w:p>
    <w:p>
      <w:pPr>
        <w:pStyle w:val="BodyText"/>
      </w:pPr>
      <m:oMathPara>
        <m:oMathParaPr>
          <m:jc m:val="center"/>
        </m:oMathParaPr>
        <m:oMath>
          <m:r>
            <m:rPr>
              <m:nor/>
              <m:sty m:val="p"/>
            </m:rPr>
            <m:t>ROE (Tangible)</m:t>
          </m:r>
          <m:r>
            <m:t>=</m:t>
          </m:r>
          <m:f>
            <m:fPr>
              <m:type m:val="bar"/>
            </m:fPr>
            <m:num>
              <m:r>
                <m:rPr>
                  <m:nor/>
                  <m:sty m:val="p"/>
                </m:rPr>
                <m:t>Adj. Net Earnings</m:t>
              </m:r>
            </m:num>
            <m:den>
              <m:r>
                <m:rPr>
                  <m:nor/>
                  <m:sty m:val="p"/>
                </m:rPr>
                <m:t>Tangible Equity</m:t>
              </m:r>
            </m:den>
          </m:f>
          <m:r>
            <m:t>=</m:t>
          </m:r>
          <m:f>
            <m:fPr>
              <m:type m:val="bar"/>
            </m:fPr>
            <m:num>
              <m:r>
                <m:t>$</m:t>
              </m:r>
              <m:r>
                <m:t>2</m:t>
              </m:r>
              <m:r>
                <m:t>,</m:t>
              </m:r>
              <m:r>
                <m:t>163</m:t>
              </m:r>
              <m:r>
                <m:t>M</m:t>
              </m:r>
            </m:num>
            <m:den>
              <m:r>
                <m:t>$</m:t>
              </m:r>
              <m:r>
                <m:t>19</m:t>
              </m:r>
              <m:r>
                <m:t>,</m:t>
              </m:r>
              <m:r>
                <m:t>882</m:t>
              </m:r>
              <m:r>
                <m:t>M</m:t>
              </m:r>
              <m:r>
                <m:t>−</m:t>
              </m:r>
              <m:r>
                <m:t>$</m:t>
              </m:r>
              <m:r>
                <m:t>31</m:t>
              </m:r>
              <m:r>
                <m:t>,</m:t>
              </m:r>
              <m:r>
                <m:t>105</m:t>
              </m:r>
              <m:r>
                <m:t>M</m:t>
              </m:r>
            </m:den>
          </m:f>
          <m:r>
            <m:t>=</m:t>
          </m:r>
          <m:borderBox>
            <m:e>
              <m:r>
                <m:rPr>
                  <m:nor/>
                  <m:sty m:val="p"/>
                </m:rPr>
                <m:t>Negative</m:t>
              </m:r>
            </m:e>
          </m:borderBox>
        </m:oMath>
      </m:oMathPara>
    </w:p>
    <w:p>
      <w:pPr>
        <w:pStyle w:val="FirstParagraph"/>
      </w:pPr>
      <w:r>
        <w:rPr>
          <w:b/>
        </w:rPr>
        <w:t xml:space="preserve">Explanation:</w:t>
      </w:r>
      <w:r>
        <w:t xml:space="preserve"> </w:t>
      </w:r>
      <w:r>
        <w:t xml:space="preserve">ROP’s tangible equity is negative (−$11,223M) due to goodwill/intangibles exceeding equity. This is typical for acquisition-heavy software companies; the metric is less meaningful. Instead, ROIC (return on all invested capital) is more appropriate [see Section 2B].</w:t>
      </w:r>
    </w:p>
    <w:p>
      <w:r>
        <w:pict>
          <v:rect style="width:0;height:1.5pt" o:hralign="center" o:hrstd="t" o:hr="t"/>
        </w:pict>
      </w:r>
    </w:p>
    <w:p>
      <w:pPr>
        <w:pStyle w:val="Heading4"/>
      </w:pPr>
      <w:bookmarkStart w:id="93" w:name="X84679dd03b842e1967b976fb7109d721fba5328"/>
      <w:r>
        <w:rPr>
          <w:b/>
        </w:rPr>
        <w:t xml:space="preserve">Free Cash Flow to Equity (FCFE) and Sustainable Growth:</w:t>
      </w:r>
      <w:bookmarkEnd w:id="93"/>
    </w:p>
    <w:p>
      <w:pPr>
        <w:pStyle w:val="FirstParagraph"/>
      </w:pPr>
      <m:oMathPara>
        <m:oMathParaPr>
          <m:jc m:val="center"/>
        </m:oMathParaPr>
        <m:oMath>
          <m:r>
            <m:rPr>
              <m:nor/>
              <m:sty m:val="p"/>
            </m:rPr>
            <m:t>FCFE (FY2025)</m:t>
          </m:r>
          <m:r>
            <m:t>=</m:t>
          </m:r>
          <m:r>
            <m:rPr>
              <m:nor/>
              <m:sty m:val="p"/>
            </m:rPr>
            <m:t>FCF</m:t>
          </m:r>
          <m:r>
            <m:t>+</m:t>
          </m:r>
          <m:r>
            <m:rPr>
              <m:nor/>
              <m:sty m:val="p"/>
            </m:rPr>
            <m:t>Debt Issuance</m:t>
          </m:r>
          <m:r>
            <m:t>−</m:t>
          </m:r>
          <m:r>
            <m:rPr>
              <m:nor/>
              <m:sty m:val="p"/>
            </m:rPr>
            <m:t>Debt Repayment</m:t>
          </m:r>
        </m:oMath>
      </m:oMathPara>
    </w:p>
    <w:p>
      <w:pPr>
        <w:pStyle w:val="FirstParagraph"/>
      </w:pPr>
      <m:oMathPara>
        <m:oMathParaPr>
          <m:jc m:val="center"/>
        </m:oMathParaPr>
        <m:oMath>
          <m:r>
            <m:t>=</m:t>
          </m:r>
          <m:r>
            <m:t>$</m:t>
          </m:r>
          <m:r>
            <m:t>2</m:t>
          </m:r>
          <m:r>
            <m:t>,</m:t>
          </m:r>
          <m:r>
            <m:t>466</m:t>
          </m:r>
          <m:r>
            <m:t>M</m:t>
          </m:r>
          <m:r>
            <m:t>+</m:t>
          </m:r>
          <m:r>
            <m:t>$</m:t>
          </m:r>
          <m:r>
            <m:t>600</m:t>
          </m:r>
          <m:r>
            <m:t>M</m:t>
          </m:r>
          <m:r>
            <m:t>−</m:t>
          </m:r>
          <m:r>
            <m:t>$</m:t>
          </m:r>
          <m:r>
            <m:t>600</m:t>
          </m:r>
          <m:r>
            <m:t>M</m:t>
          </m:r>
          <m:r>
            <m:t>=</m:t>
          </m:r>
          <m:r>
            <m:t>$</m:t>
          </m:r>
          <m:r>
            <m:t>2</m:t>
          </m:r>
          <m:r>
            <m:t>,</m:t>
          </m:r>
          <m:r>
            <m:t>466</m:t>
          </m:r>
          <m:r>
            <m:t>M</m:t>
          </m:r>
        </m:oMath>
      </m:oMathPara>
    </w:p>
    <w:p>
      <w:pPr>
        <w:pStyle w:val="FirstParagraph"/>
      </w:pPr>
      <w:r>
        <w:t xml:space="preserve">(Assuming balanced debt management: new debt issuance = repayment.)</w:t>
      </w:r>
    </w:p>
    <w:p>
      <w:pPr>
        <w:pStyle w:val="BodyText"/>
      </w:pPr>
      <m:oMathPara>
        <m:oMathParaPr>
          <m:jc m:val="center"/>
        </m:oMathParaPr>
        <m:oMath>
          <m:r>
            <m:rPr>
              <m:nor/>
              <m:sty m:val="p"/>
            </m:rPr>
            <m:t>Payout Ratio (Dividends + Buybacks) / FCFE</m:t>
          </m:r>
        </m:oMath>
      </m:oMathPara>
    </w:p>
    <w:p>
      <w:pPr>
        <w:pStyle w:val="FirstParagraph"/>
      </w:pPr>
      <m:oMathPara>
        <m:oMathParaPr>
          <m:jc m:val="center"/>
        </m:oMathParaPr>
        <m:oMath>
          <m:r>
            <m:t>=</m:t>
          </m:r>
          <m:f>
            <m:fPr>
              <m:type m:val="bar"/>
            </m:fPr>
            <m:num>
              <m:r>
                <m:t>$</m:t>
              </m:r>
              <m:r>
                <m:t>500</m:t>
              </m:r>
              <m:r>
                <m:t>M</m:t>
              </m:r>
              <m:r>
                <m:t>+</m:t>
              </m:r>
              <m:r>
                <m:t>$</m:t>
              </m:r>
              <m:r>
                <m:t>500</m:t>
              </m:r>
              <m:r>
                <m:t>M</m:t>
              </m:r>
            </m:num>
            <m:den>
              <m:r>
                <m:t>$</m:t>
              </m:r>
              <m:r>
                <m:t>2</m:t>
              </m:r>
              <m:r>
                <m:t>,</m:t>
              </m:r>
              <m:r>
                <m:t>466</m:t>
              </m:r>
              <m:r>
                <m:t>M</m:t>
              </m:r>
            </m:den>
          </m:f>
          <m:r>
            <m:t>=</m:t>
          </m:r>
          <m:r>
            <m:t>40.6</m:t>
          </m:r>
          <m:r>
            <m:t>%</m:t>
          </m:r>
        </m:oMath>
      </m:oMathPara>
    </w:p>
    <w:p>
      <w:pPr>
        <w:pStyle w:val="FirstParagraph"/>
      </w:pPr>
      <m:oMathPara>
        <m:oMathParaPr>
          <m:jc m:val="center"/>
        </m:oMathParaPr>
        <m:oMath>
          <m:r>
            <m:rPr>
              <m:nor/>
              <m:sty m:val="p"/>
            </m:rPr>
            <m:t>Retention Ratio</m:t>
          </m:r>
          <m:r>
            <m:t>=</m:t>
          </m:r>
          <m:r>
            <m:t>59.4</m:t>
          </m:r>
          <m:r>
            <m:t>%</m:t>
          </m:r>
        </m:oMath>
      </m:oMathPara>
    </w:p>
    <w:p>
      <w:pPr>
        <w:pStyle w:val="FirstParagraph"/>
      </w:pPr>
      <w:r>
        <w:t xml:space="preserve">$$\text{Implied Sustainable Growth (g = ROE \times Retention)}$$</w:t>
      </w:r>
    </w:p>
    <w:p>
      <w:pPr>
        <w:pStyle w:val="FirstParagraph"/>
      </w:pPr>
      <m:oMathPara>
        <m:oMathParaPr>
          <m:jc m:val="center"/>
        </m:oMathParaPr>
        <m:oMath>
          <m:r>
            <m:t>=</m:t>
          </m:r>
          <m:r>
            <m:t>10.9</m:t>
          </m:r>
          <m:r>
            <m:t>%</m:t>
          </m:r>
          <m:r>
            <m:t>×</m:t>
          </m:r>
          <m:r>
            <m:t>0.594</m:t>
          </m:r>
          <m:r>
            <m:t>=</m:t>
          </m:r>
          <m:borderBox>
            <m:e>
              <m:r>
                <m:t>6.5</m:t>
              </m:r>
              <m:r>
                <m:t>%</m:t>
              </m:r>
            </m:e>
          </m:borderBox>
        </m:oMath>
      </m:oMathPara>
    </w:p>
    <w:p>
      <w:pPr>
        <w:pStyle w:val="FirstParagraph"/>
      </w:pPr>
      <w:r>
        <w:rPr>
          <w:b/>
        </w:rPr>
        <w:t xml:space="preserve">Validation:</w:t>
      </w:r>
      <w:r>
        <w:t xml:space="preserve"> </w:t>
      </w:r>
      <w:r>
        <w:t xml:space="preserve">Implied sustainable growth of 6.5% aligns with:</w:t>
      </w:r>
      <w:r>
        <w:t xml:space="preserve"> </w:t>
      </w:r>
      <w:r>
        <w:t xml:space="preserve">-</w:t>
      </w:r>
      <w:r>
        <w:t xml:space="preserve"> </w:t>
      </w:r>
      <w:r>
        <w:rPr>
          <w:b/>
        </w:rPr>
        <w:t xml:space="preserve">Management guidance (organic +5–6%):</w:t>
      </w:r>
      <w:r>
        <w:t xml:space="preserve"> </w:t>
      </w:r>
      <w:r>
        <w:t xml:space="preserve">ROP’s organic growth guidance is at the low end of sustainable growth, indicating slight capital redeployment away from growth reinvestment toward shareholder returns (new dividend increase, buyback program).</w:t>
      </w:r>
      <w:r>
        <w:t xml:space="preserve"> </w:t>
      </w:r>
      <w:r>
        <w:t xml:space="preserve">-</w:t>
      </w:r>
      <w:r>
        <w:t xml:space="preserve"> </w:t>
      </w:r>
      <w:r>
        <w:rPr>
          <w:b/>
        </w:rPr>
        <w:t xml:space="preserve">Historical CAGR (FY2022–FY2025 organic): ~5.6%:</w:t>
      </w:r>
      <w:r>
        <w:t xml:space="preserve"> </w:t>
      </w:r>
      <w:r>
        <w:t xml:space="preserve">Consistent with sustainable 6–7% level.</w:t>
      </w:r>
    </w:p>
    <w:p>
      <w:r>
        <w:pict>
          <v:rect style="width:0;height:1.5pt" o:hralign="center" o:hrstd="t" o:hr="t"/>
        </w:pict>
      </w:r>
    </w:p>
    <w:p>
      <w:pPr>
        <w:pStyle w:val="Heading3"/>
      </w:pPr>
      <w:bookmarkStart w:id="94" w:name="X99eb9999ebf2546d5033d40b5e454a964ce2d91"/>
      <w:r>
        <w:t xml:space="preserve">5F. Earnings Per Share (EPS) Bridge and Dilution Analysis</w:t>
      </w:r>
      <w:bookmarkEnd w:id="94"/>
    </w:p>
    <w:p>
      <w:pPr>
        <w:pStyle w:val="Heading4"/>
      </w:pPr>
      <w:bookmarkStart w:id="95" w:name="X5438a0e32e4d834e70e850e4c7eee3e0543863b"/>
      <w:r>
        <w:rPr>
          <w:b/>
        </w:rPr>
        <w:t xml:space="preserve">GAAP EPS to Adjusted DEPS Reconciliation (FY2025):</w:t>
      </w:r>
      <w:bookmarkEnd w:id="95"/>
    </w:p>
    <w:tbl>
      <w:tblPr>
        <w:tblStyle w:val="Table"/>
        <w:tblW w:type="pct" w:w="5000.0"/>
        <w:tblLook w:firstRow="1"/>
      </w:tblPr>
      <w:tblGrid>
        <w:gridCol w:w="2640"/>
        <w:gridCol w:w="2640"/>
        <w:gridCol w:w="2640"/>
      </w:tblGrid>
      <w:tr>
        <w:trPr>
          <w:cnfStyle w:firstRow="1"/>
        </w:trPr>
        <w:tc>
          <w:tcPr>
            <w:tcBorders>
              <w:bottom w:val="single"/>
            </w:tcBorders>
            <w:vAlign w:val="bottom"/>
          </w:tcPr>
          <w:p>
            <w:pPr>
              <w:pStyle w:val="Compact"/>
              <w:jc w:val="left"/>
            </w:pPr>
            <w:r>
              <w:t xml:space="preserve">Item</w:t>
            </w:r>
          </w:p>
        </w:tc>
        <w:tc>
          <w:tcPr>
            <w:tcBorders>
              <w:bottom w:val="single"/>
            </w:tcBorders>
            <w:vAlign w:val="bottom"/>
          </w:tcPr>
          <w:p>
            <w:pPr>
              <w:pStyle w:val="Compact"/>
              <w:jc w:val="left"/>
            </w:pPr>
            <w:r>
              <w:t xml:space="preserve">Per Share Impact</w:t>
            </w:r>
          </w:p>
        </w:tc>
        <w:tc>
          <w:tcPr>
            <w:tcBorders>
              <w:bottom w:val="single"/>
            </w:tcBorders>
            <w:vAlign w:val="bottom"/>
          </w:tcPr>
          <w:p>
            <w:pPr>
              <w:pStyle w:val="Compact"/>
              <w:jc w:val="left"/>
            </w:pPr>
            <w:r>
              <w:t xml:space="preserve">Cumulative</w:t>
            </w:r>
          </w:p>
        </w:tc>
      </w:tr>
      <w:tr>
        <w:tc>
          <w:p>
            <w:pPr>
              <w:pStyle w:val="Compact"/>
              <w:jc w:val="left"/>
            </w:pPr>
            <w:r>
              <w:rPr>
                <w:b/>
              </w:rPr>
              <w:t xml:space="preserve">GAAP EPS (Diluted)</w:t>
            </w:r>
          </w:p>
        </w:tc>
        <w:tc>
          <w:p>
            <w:pPr>
              <w:pStyle w:val="Compact"/>
              <w:jc w:val="left"/>
            </w:pPr>
            <w:r>
              <w:t xml:space="preserve">$14.19</w:t>
            </w:r>
          </w:p>
        </w:tc>
        <w:tc>
          <w:p>
            <w:pPr>
              <w:pStyle w:val="Compact"/>
              <w:jc w:val="left"/>
            </w:pPr>
            <w:r>
              <w:t xml:space="preserve">$14.19</w:t>
            </w:r>
          </w:p>
        </w:tc>
      </w:tr>
      <w:tr>
        <w:tc>
          <w:p>
            <w:pPr>
              <w:pStyle w:val="Compact"/>
              <w:jc w:val="left"/>
            </w:pPr>
            <w:r>
              <w:rPr>
                <w:b/>
              </w:rPr>
              <w:t xml:space="preserve">Intangible Amortization (after-tax)</w:t>
            </w:r>
          </w:p>
        </w:tc>
        <w:tc>
          <w:p>
            <w:pPr>
              <w:pStyle w:val="Compact"/>
              <w:jc w:val="left"/>
            </w:pPr>
            <w:r>
              <w:t xml:space="preserve">+$6.28</w:t>
            </w:r>
          </w:p>
        </w:tc>
        <w:tc>
          <w:p>
            <w:pPr>
              <w:pStyle w:val="Compact"/>
              <w:jc w:val="left"/>
            </w:pPr>
            <w:r>
              <w:t xml:space="preserve">$20.47</w:t>
            </w:r>
          </w:p>
        </w:tc>
      </w:tr>
      <w:tr>
        <w:tc>
          <w:p>
            <w:pPr>
              <w:pStyle w:val="Compact"/>
              <w:jc w:val="left"/>
            </w:pPr>
            <w:r>
              <w:rPr>
                <w:b/>
              </w:rPr>
              <w:t xml:space="preserve">Stock-Based Comp (after-tax)</w:t>
            </w:r>
          </w:p>
        </w:tc>
        <w:tc>
          <w:p>
            <w:pPr>
              <w:pStyle w:val="Compact"/>
              <w:jc w:val="left"/>
            </w:pPr>
            <w:r>
              <w:t xml:space="preserve">+$1.21</w:t>
            </w:r>
          </w:p>
        </w:tc>
        <w:tc>
          <w:p>
            <w:pPr>
              <w:pStyle w:val="Compact"/>
              <w:jc w:val="left"/>
            </w:pPr>
            <m:oMath>
              <m:r>
                <m:t>21.68</m:t>
              </m:r>
              <m:r>
                <m:t>|</m:t>
              </m:r>
              <m:r>
                <m:t>|</m:t>
              </m:r>
              <m:r>
                <m:t>*</m:t>
              </m:r>
              <m:r>
                <m:t>*</m:t>
              </m:r>
              <m:r>
                <m:t>O</m:t>
              </m:r>
              <m:r>
                <m:t>t</m:t>
              </m:r>
              <m:r>
                <m:t>h</m:t>
              </m:r>
              <m:r>
                <m:t>e</m:t>
              </m:r>
              <m:r>
                <m:t>r</m:t>
              </m:r>
              <m:r>
                <m:t>A</m:t>
              </m:r>
              <m:r>
                <m:t>d</m:t>
              </m:r>
              <m:r>
                <m:t>j</m:t>
              </m:r>
              <m:r>
                <m:t>u</m:t>
              </m:r>
              <m:r>
                <m:t>s</m:t>
              </m:r>
              <m:r>
                <m:t>t</m:t>
              </m:r>
              <m:r>
                <m:t>m</m:t>
              </m:r>
              <m:r>
                <m:t>e</m:t>
              </m:r>
              <m:r>
                <m:t>n</m:t>
              </m:r>
              <m:r>
                <m:t>t</m:t>
              </m:r>
              <m:r>
                <m:t>s</m:t>
              </m:r>
              <m:r>
                <m:t>(</m:t>
              </m:r>
              <m:r>
                <m:t>a</m:t>
              </m:r>
              <m:r>
                <m:t>f</m:t>
              </m:r>
              <m:r>
                <m:t>t</m:t>
              </m:r>
              <m:r>
                <m:t>e</m:t>
              </m:r>
              <m:r>
                <m:t>r</m:t>
              </m:r>
              <m:r>
                <m:t>−</m:t>
              </m:r>
              <m:r>
                <m:t>t</m:t>
              </m:r>
              <m:r>
                <m:t>a</m:t>
              </m:r>
              <m:r>
                <m:t>x</m:t>
              </m:r>
              <m:r>
                <m:t>)</m:t>
              </m:r>
              <m:r>
                <m:t>*</m:t>
              </m:r>
              <m:r>
                <m:t>*</m:t>
              </m:r>
              <m:r>
                <m:t>|</m:t>
              </m:r>
              <m:r>
                <m:t>+</m:t>
              </m:r>
            </m:oMath>
            <w:r>
              <w:t xml:space="preserve">(0.32)</w:t>
            </w:r>
          </w:p>
        </w:tc>
      </w:tr>
      <w:tr>
        <w:tc>
          <w:p>
            <w:pPr>
              <w:pStyle w:val="Compact"/>
              <w:jc w:val="left"/>
            </w:pPr>
            <w:r>
              <w:rPr>
                <w:b/>
              </w:rPr>
              <w:t xml:space="preserve">Adj. DEPS</w:t>
            </w:r>
          </w:p>
        </w:tc>
        <w:tc>
          <w:p>
            <w:pPr>
              <w:pStyle w:val="Compact"/>
              <w:jc w:val="left"/>
            </w:pPr>
            <w:r>
              <w:rPr>
                <w:b/>
              </w:rPr>
              <w:t xml:space="preserve">$20.00</w:t>
            </w:r>
          </w:p>
        </w:tc>
        <w:tc>
          <w:p>
            <w:pPr>
              <w:pStyle w:val="Compact"/>
              <w:jc w:val="left"/>
            </w:pPr>
            <w:r>
              <w:rPr>
                <w:b/>
              </w:rPr>
              <w:t xml:space="preserve">$20.00</w:t>
            </w:r>
          </w:p>
        </w:tc>
      </w:tr>
    </w:tbl>
    <w:p>
      <w:pPr>
        <w:pStyle w:val="Heading4"/>
      </w:pPr>
      <w:bookmarkStart w:id="96" w:name="share-dilution-analysis"/>
      <w:r>
        <w:rPr>
          <w:b/>
        </w:rPr>
        <w:t xml:space="preserve">Share Dilution Analysis:</w:t>
      </w:r>
      <w:bookmarkEnd w:id="96"/>
    </w:p>
    <w:tbl>
      <w:tblPr>
        <w:tblStyle w:val="Table"/>
        <w:tblW w:type="pct" w:w="0.0"/>
        <w:tblLook w:firstRow="1"/>
      </w:tblPr>
      <w:tblGrid/>
      <w:tr>
        <w:trPr>
          <w:cnfStyle w:firstRow="1"/>
        </w:trPr>
        <w:tc>
          <w:tcPr>
            <w:tcBorders>
              <w:bottom w:val="single"/>
            </w:tcBorders>
            <w:vAlign w:val="bottom"/>
          </w:tcPr>
          <w:p>
            <w:pPr>
              <w:pStyle w:val="Compact"/>
              <w:jc w:val="left"/>
            </w:pPr>
            <w:r>
              <w:t xml:space="preserve">Metric</w:t>
            </w:r>
          </w:p>
        </w:tc>
        <w:tc>
          <w:tcPr>
            <w:tcBorders>
              <w:bottom w:val="single"/>
            </w:tcBorders>
            <w:vAlign w:val="bottom"/>
          </w:tcPr>
          <w:p>
            <w:pPr>
              <w:pStyle w:val="Compact"/>
              <w:jc w:val="left"/>
            </w:pPr>
            <w:r>
              <w:t xml:space="preserve">FY2025</w:t>
            </w:r>
          </w:p>
        </w:tc>
        <w:tc>
          <w:tcPr>
            <w:tcBorders>
              <w:bottom w:val="single"/>
            </w:tcBorders>
            <w:vAlign w:val="bottom"/>
          </w:tcPr>
          <w:p>
            <w:pPr>
              <w:pStyle w:val="Compact"/>
              <w:jc w:val="left"/>
            </w:pPr>
            <w:r>
              <w:t xml:space="preserve">FY2024</w:t>
            </w:r>
          </w:p>
        </w:tc>
        <w:tc>
          <w:tcPr>
            <w:tcBorders>
              <w:bottom w:val="single"/>
            </w:tcBorders>
            <w:vAlign w:val="bottom"/>
          </w:tcPr>
          <w:p>
            <w:pPr>
              <w:pStyle w:val="Compact"/>
              <w:jc w:val="left"/>
            </w:pPr>
            <w:r>
              <w:t xml:space="preserve">Change</w:t>
            </w:r>
          </w:p>
        </w:tc>
      </w:tr>
      <w:tr>
        <w:tc>
          <w:p>
            <w:pPr>
              <w:pStyle w:val="Compact"/>
              <w:jc w:val="left"/>
            </w:pPr>
            <w:r>
              <w:rPr>
                <w:b/>
              </w:rPr>
              <w:t xml:space="preserve">Basic Shares (M)</w:t>
            </w:r>
          </w:p>
        </w:tc>
        <w:tc>
          <w:p>
            <w:pPr>
              <w:pStyle w:val="Compact"/>
              <w:jc w:val="left"/>
            </w:pPr>
            <w:r>
              <w:t xml:space="preserve">~106.5</w:t>
            </w:r>
          </w:p>
        </w:tc>
        <w:tc>
          <w:p>
            <w:pPr>
              <w:pStyle w:val="Compact"/>
              <w:jc w:val="left"/>
            </w:pPr>
            <w:r>
              <w:t xml:space="preserve">~105.0</w:t>
            </w:r>
          </w:p>
        </w:tc>
        <w:tc>
          <w:p>
            <w:pPr>
              <w:pStyle w:val="Compact"/>
              <w:jc w:val="left"/>
            </w:pPr>
            <w:r>
              <w:t xml:space="preserve">+1.5M</w:t>
            </w:r>
          </w:p>
        </w:tc>
      </w:tr>
      <w:tr>
        <w:tc>
          <w:p>
            <w:pPr>
              <w:pStyle w:val="Compact"/>
              <w:jc w:val="left"/>
            </w:pPr>
            <w:r>
              <w:rPr>
                <w:b/>
              </w:rPr>
              <w:t xml:space="preserve">Diluted Shares (M)</w:t>
            </w:r>
          </w:p>
        </w:tc>
        <w:tc>
          <w:p>
            <w:pPr>
              <w:pStyle w:val="Compact"/>
              <w:jc w:val="left"/>
            </w:pPr>
            <w:r>
              <w:t xml:space="preserve">108.2</w:t>
            </w:r>
          </w:p>
        </w:tc>
        <w:tc>
          <w:p>
            <w:pPr>
              <w:pStyle w:val="Compact"/>
              <w:jc w:val="left"/>
            </w:pPr>
            <w:r>
              <w:t xml:space="preserve">106.0</w:t>
            </w:r>
          </w:p>
        </w:tc>
        <w:tc>
          <w:p>
            <w:pPr>
              <w:pStyle w:val="Compact"/>
              <w:jc w:val="left"/>
            </w:pPr>
            <w:r>
              <w:t xml:space="preserve">+2.2M</w:t>
            </w:r>
          </w:p>
        </w:tc>
      </w:tr>
      <w:tr>
        <w:tc>
          <w:p>
            <w:pPr>
              <w:pStyle w:val="Compact"/>
              <w:jc w:val="left"/>
            </w:pPr>
            <w:r>
              <w:rPr>
                <w:b/>
              </w:rPr>
              <w:t xml:space="preserve">Dilution from Options/RSUs (M)</w:t>
            </w:r>
          </w:p>
        </w:tc>
        <w:tc>
          <w:p>
            <w:pPr>
              <w:pStyle w:val="Compact"/>
              <w:jc w:val="left"/>
            </w:pPr>
            <w:r>
              <w:t xml:space="preserve">1.7</w:t>
            </w:r>
          </w:p>
        </w:tc>
        <w:tc>
          <w:p>
            <w:pPr>
              <w:pStyle w:val="Compact"/>
              <w:jc w:val="left"/>
            </w:pPr>
            <w:r>
              <w:t xml:space="preserve">1.0</w:t>
            </w:r>
          </w:p>
        </w:tc>
        <w:tc>
          <w:p>
            <w:pPr>
              <w:pStyle w:val="Compact"/>
              <w:jc w:val="left"/>
            </w:pPr>
            <w:r>
              <w:t xml:space="preserve">+0.7M</w:t>
            </w:r>
          </w:p>
        </w:tc>
      </w:tr>
      <w:tr>
        <w:tc>
          <w:p>
            <w:pPr>
              <w:pStyle w:val="Compact"/>
              <w:jc w:val="left"/>
            </w:pPr>
            <w:r>
              <w:rPr>
                <w:b/>
              </w:rPr>
              <w:t xml:space="preserve">Shares Repurchased (M)</w:t>
            </w:r>
          </w:p>
        </w:tc>
        <w:tc>
          <w:p>
            <w:pPr>
              <w:pStyle w:val="Compact"/>
              <w:jc w:val="left"/>
            </w:pPr>
            <w:r>
              <w:t xml:space="preserve">1.12</w:t>
            </w:r>
          </w:p>
        </w:tc>
        <w:tc>
          <w:p>
            <w:pPr>
              <w:pStyle w:val="Compact"/>
              <w:jc w:val="left"/>
            </w:pPr>
            <w:r>
              <w:t xml:space="preserve">—</w:t>
            </w:r>
          </w:p>
        </w:tc>
        <w:tc>
          <w:p>
            <w:pPr>
              <w:pStyle w:val="Compact"/>
              <w:jc w:val="left"/>
            </w:pPr>
            <w:r>
              <w:t xml:space="preserve">—</w:t>
            </w:r>
          </w:p>
        </w:tc>
      </w:tr>
      <w:tr>
        <w:tc>
          <w:p>
            <w:pPr>
              <w:pStyle w:val="Compact"/>
              <w:jc w:val="left"/>
            </w:pPr>
            <w:r>
              <w:rPr>
                <w:b/>
              </w:rPr>
              <w:t xml:space="preserve">Net Share Issuance/(Repurchase)</w:t>
            </w:r>
          </w:p>
        </w:tc>
        <w:tc>
          <w:p>
            <w:pPr>
              <w:pStyle w:val="Compact"/>
              <w:jc w:val="left"/>
            </w:pPr>
            <w:r>
              <w:t xml:space="preserve">+0.58M</w:t>
            </w:r>
          </w:p>
        </w:tc>
        <w:tc>
          <w:p>
            <w:pPr>
              <w:pStyle w:val="Compact"/>
              <w:jc w:val="left"/>
            </w:pPr>
            <w:r>
              <w:t xml:space="preserve">—</w:t>
            </w:r>
          </w:p>
        </w:tc>
        <w:tc>
          <w:p>
            <w:pPr>
              <w:pStyle w:val="Compact"/>
              <w:jc w:val="left"/>
            </w:pPr>
            <w:r>
              <w:t xml:space="preserve">—</w:t>
            </w:r>
          </w:p>
        </w:tc>
      </w:tr>
    </w:tbl>
    <w:p>
      <w:pPr>
        <w:pStyle w:val="BodyText"/>
      </w:pPr>
      <w:r>
        <w:rPr>
          <w:b/>
        </w:rPr>
        <w:t xml:space="preserve">Interpretation:</w:t>
      </w:r>
      <w:r>
        <w:t xml:space="preserve"> </w:t>
      </w:r>
      <w:r>
        <w:t xml:space="preserve">-</w:t>
      </w:r>
      <w:r>
        <w:t xml:space="preserve"> </w:t>
      </w:r>
      <w:r>
        <w:rPr>
          <w:b/>
        </w:rPr>
        <w:t xml:space="preserve">SBC Dilution (1.7M shares, 1.6%):</w:t>
      </w:r>
      <w:r>
        <w:t xml:space="preserve"> </w:t>
      </w:r>
      <w:r>
        <w:t xml:space="preserve">Stock option/RSU exercises added 1.7M shares to the share count. However, ROP repurchased 1.12M shares in FY2025 ($500M at avg. $445.90), offsetting 66% of SBC dilution.</w:t>
      </w:r>
      <w:r>
        <w:t xml:space="preserve"> </w:t>
      </w:r>
      <w:r>
        <w:t xml:space="preserve">-</w:t>
      </w:r>
      <w:r>
        <w:t xml:space="preserve"> </w:t>
      </w:r>
      <w:r>
        <w:rPr>
          <w:b/>
        </w:rPr>
        <w:t xml:space="preserve">Net Dilution (0.58M shares):</w:t>
      </w:r>
      <w:r>
        <w:t xml:space="preserve"> </w:t>
      </w:r>
      <w:r>
        <w:t xml:space="preserve">Despite $500M buybacks, share count grew by 0.58M (0.5%) due to SBC exceeding repurchases. This is modest and sustainable.</w:t>
      </w:r>
      <w:r>
        <w:t xml:space="preserve"> </w:t>
      </w:r>
      <w:r>
        <w:t xml:space="preserve">-</w:t>
      </w:r>
      <w:r>
        <w:t xml:space="preserve"> </w:t>
      </w:r>
      <w:r>
        <w:rPr>
          <w:b/>
        </w:rPr>
        <w:t xml:space="preserve">FY2026 Projection:</w:t>
      </w:r>
      <w:r>
        <w:t xml:space="preserve"> </w:t>
      </w:r>
      <w:r>
        <w:t xml:space="preserve">If SBC stabilizes at $175M (modest increase) and buybacks increase to $750M, net share count may decline 0–1% (positive for DEPS accretion).</w:t>
      </w:r>
    </w:p>
    <w:p>
      <w:pPr>
        <w:pStyle w:val="Heading4"/>
      </w:pPr>
      <w:bookmarkStart w:id="97" w:name="deps-growth-bridge-fy2025-fy2026e"/>
      <w:r>
        <w:rPr>
          <w:b/>
        </w:rPr>
        <w:t xml:space="preserve">DEPS Growth Bridge (FY2025 → FY2026E):</w:t>
      </w:r>
      <w:bookmarkEnd w:id="97"/>
    </w:p>
    <w:tbl>
      <w:tblPr>
        <w:tblStyle w:val="Table"/>
        <w:tblW w:type="pct" w:w="0.0"/>
        <w:tblLook w:firstRow="1"/>
      </w:tblPr>
      <w:tblGrid/>
      <w:tr>
        <w:trPr>
          <w:cnfStyle w:firstRow="1"/>
        </w:trPr>
        <w:tc>
          <w:tcPr>
            <w:tcBorders>
              <w:bottom w:val="single"/>
            </w:tcBorders>
            <w:vAlign w:val="bottom"/>
          </w:tcPr>
          <w:p>
            <w:pPr>
              <w:pStyle w:val="Compact"/>
              <w:jc w:val="left"/>
            </w:pPr>
            <w:r>
              <w:t xml:space="preserve">Component</w:t>
            </w:r>
          </w:p>
        </w:tc>
        <w:tc>
          <w:tcPr>
            <w:tcBorders>
              <w:bottom w:val="single"/>
            </w:tcBorders>
            <w:vAlign w:val="bottom"/>
          </w:tcPr>
          <w:p>
            <w:pPr>
              <w:pStyle w:val="Compact"/>
              <w:jc w:val="left"/>
            </w:pPr>
            <w:r>
              <w:t xml:space="preserve">FY2025</w:t>
            </w:r>
          </w:p>
        </w:tc>
        <w:tc>
          <w:tcPr>
            <w:tcBorders>
              <w:bottom w:val="single"/>
            </w:tcBorders>
            <w:vAlign w:val="bottom"/>
          </w:tcPr>
          <w:p>
            <w:pPr>
              <w:pStyle w:val="Compact"/>
              <w:jc w:val="left"/>
            </w:pPr>
            <w:r>
              <w:t xml:space="preserve">FY2026E</w:t>
            </w:r>
          </w:p>
        </w:tc>
        <w:tc>
          <w:tcPr>
            <w:tcBorders>
              <w:bottom w:val="single"/>
            </w:tcBorders>
            <w:vAlign w:val="bottom"/>
          </w:tcPr>
          <w:p>
            <w:pPr>
              <w:pStyle w:val="Compact"/>
              <w:jc w:val="left"/>
            </w:pPr>
            <w:r>
              <w:t xml:space="preserve">Growth</w:t>
            </w:r>
          </w:p>
        </w:tc>
      </w:tr>
      <w:tr>
        <w:tc>
          <w:p>
            <w:pPr>
              <w:pStyle w:val="Compact"/>
              <w:jc w:val="left"/>
            </w:pPr>
            <w:r>
              <w:rPr>
                <w:b/>
              </w:rPr>
              <w:t xml:space="preserve">Adj. Net Earnings ($M)</w:t>
            </w:r>
          </w:p>
        </w:tc>
        <w:tc>
          <w:p>
            <w:pPr>
              <w:pStyle w:val="Compact"/>
              <w:jc w:val="left"/>
            </w:pPr>
            <w:r>
              <w:t xml:space="preserve">$2,163M</w:t>
            </w:r>
          </w:p>
        </w:tc>
        <w:tc>
          <w:p>
            <w:pPr>
              <w:pStyle w:val="Compact"/>
              <w:jc w:val="left"/>
            </w:pPr>
            <w:r>
              <w:t xml:space="preserve">$2,359M</w:t>
            </w:r>
          </w:p>
        </w:tc>
        <w:tc>
          <w:p>
            <w:pPr>
              <w:pStyle w:val="Compact"/>
              <w:jc w:val="left"/>
            </w:pPr>
            <w:r>
              <w:t xml:space="preserve">+9.0%</w:t>
            </w:r>
          </w:p>
        </w:tc>
      </w:tr>
      <w:tr>
        <w:tc>
          <w:p>
            <w:pPr>
              <w:pStyle w:val="Compact"/>
              <w:jc w:val="left"/>
            </w:pPr>
            <w:r>
              <w:rPr>
                <w:b/>
              </w:rPr>
              <w:t xml:space="preserve">Diluted Shares (M)</w:t>
            </w:r>
          </w:p>
        </w:tc>
        <w:tc>
          <w:p>
            <w:pPr>
              <w:pStyle w:val="Compact"/>
              <w:jc w:val="left"/>
            </w:pPr>
            <w:r>
              <w:t xml:space="preserve">108.2</w:t>
            </w:r>
          </w:p>
        </w:tc>
        <w:tc>
          <w:p>
            <w:pPr>
              <w:pStyle w:val="Compact"/>
              <w:jc w:val="left"/>
            </w:pPr>
            <w:r>
              <w:t xml:space="preserve">108.5</w:t>
            </w:r>
          </w:p>
        </w:tc>
        <w:tc>
          <w:p>
            <w:pPr>
              <w:pStyle w:val="Compact"/>
              <w:jc w:val="left"/>
            </w:pPr>
            <w:r>
              <w:t xml:space="preserve">+0.3%</w:t>
            </w:r>
          </w:p>
        </w:tc>
      </w:tr>
      <w:tr>
        <w:tc>
          <w:p>
            <w:pPr>
              <w:pStyle w:val="Compact"/>
              <w:jc w:val="left"/>
            </w:pPr>
            <w:r>
              <w:rPr>
                <w:b/>
              </w:rPr>
              <w:t xml:space="preserve">Adj. DEPS</w:t>
            </w:r>
          </w:p>
        </w:tc>
        <w:tc>
          <w:p>
            <w:pPr>
              <w:pStyle w:val="Compact"/>
              <w:jc w:val="left"/>
            </w:pPr>
            <w:r>
              <w:t xml:space="preserve">$20.00</w:t>
            </w:r>
          </w:p>
        </w:tc>
        <w:tc>
          <w:p>
            <w:pPr>
              <w:pStyle w:val="Compact"/>
              <w:jc w:val="left"/>
            </w:pPr>
            <w:r>
              <w:t xml:space="preserve">$21.73</w:t>
            </w:r>
          </w:p>
        </w:tc>
        <w:tc>
          <w:p>
            <w:pPr>
              <w:pStyle w:val="Compact"/>
              <w:jc w:val="left"/>
            </w:pPr>
            <w:r>
              <w:t xml:space="preserve">+8.7%</w:t>
            </w:r>
          </w:p>
        </w:tc>
      </w:tr>
    </w:tbl>
    <w:p>
      <w:pPr>
        <w:pStyle w:val="BodyText"/>
      </w:pPr>
      <w:r>
        <w:rPr>
          <w:b/>
        </w:rPr>
        <w:t xml:space="preserve">Guidance DEPS ($21.30–$21.55, midpoint $21.425):</w:t>
      </w:r>
    </w:p>
    <w:p>
      <w:pPr>
        <w:pStyle w:val="BodyText"/>
      </w:pPr>
      <m:oMathPara>
        <m:oMathParaPr>
          <m:jc m:val="center"/>
        </m:oMathParaPr>
        <m:oMath>
          <m:r>
            <m:rPr>
              <m:nor/>
              <m:sty m:val="p"/>
            </m:rPr>
            <m:t>Implied Growth</m:t>
          </m:r>
          <m:r>
            <m:t>=</m:t>
          </m:r>
          <m:f>
            <m:fPr>
              <m:type m:val="bar"/>
            </m:fPr>
            <m:num>
              <m:r>
                <m:t>$</m:t>
              </m:r>
              <m:r>
                <m:t>21.425</m:t>
              </m:r>
              <m:r>
                <m:t>−</m:t>
              </m:r>
              <m:r>
                <m:t>$</m:t>
              </m:r>
              <m:r>
                <m:t>20.00</m:t>
              </m:r>
            </m:num>
            <m:den>
              <m:r>
                <m:t>$</m:t>
              </m:r>
              <m:r>
                <m:t>20.00</m:t>
              </m:r>
            </m:den>
          </m:f>
          <m:r>
            <m:t>=</m:t>
          </m:r>
          <m:r>
            <m:t>+</m:t>
          </m:r>
          <m:r>
            <m:t>7.1</m:t>
          </m:r>
          <m:r>
            <m:t>%</m:t>
          </m:r>
        </m:oMath>
      </m:oMathPara>
    </w:p>
    <w:p>
      <w:pPr>
        <w:pStyle w:val="FirstParagraph"/>
      </w:pPr>
      <w:r>
        <w:rPr>
          <w:b/>
        </w:rPr>
        <w:t xml:space="preserve">Reconciliation:</w:t>
      </w:r>
      <w:r>
        <w:t xml:space="preserve"> </w:t>
      </w:r>
      <w:r>
        <w:t xml:space="preserve">My estimate of +8.7% vs. guidance of +7.1% reflects:</w:t>
      </w:r>
      <w:r>
        <w:t xml:space="preserve"> </w:t>
      </w:r>
      <w:r>
        <w:t xml:space="preserve">1.</w:t>
      </w:r>
      <w:r>
        <w:t xml:space="preserve"> </w:t>
      </w:r>
      <w:r>
        <w:rPr>
          <w:b/>
        </w:rPr>
        <w:t xml:space="preserve">More optimistic operating margin assumption:</w:t>
      </w:r>
      <w:r>
        <w:t xml:space="preserve"> </w:t>
      </w:r>
      <w:r>
        <w:t xml:space="preserve">I assume 39.6% EBITDA margin; guidance may assume slightly lower.</w:t>
      </w:r>
      <w:r>
        <w:t xml:space="preserve"> </w:t>
      </w:r>
      <w:r>
        <w:t xml:space="preserve">2.</w:t>
      </w:r>
      <w:r>
        <w:t xml:space="preserve"> </w:t>
      </w:r>
      <w:r>
        <w:rPr>
          <w:b/>
        </w:rPr>
        <w:t xml:space="preserve">More optimistic net earnings growth:</w:t>
      </w:r>
      <w:r>
        <w:t xml:space="preserve"> </w:t>
      </w:r>
      <w:r>
        <w:t xml:space="preserve">Implies $2,359M earnings vs. $2,340M (implied by guidance).</w:t>
      </w:r>
    </w:p>
    <w:p>
      <w:pPr>
        <w:pStyle w:val="BodyText"/>
      </w:pPr>
      <w:r>
        <w:rPr>
          <w:b/>
        </w:rPr>
        <w:t xml:space="preserve">Conservative Reconciliation:</w:t>
      </w:r>
      <w:r>
        <w:t xml:space="preserve"> </w:t>
      </w:r>
      <w:r>
        <w:t xml:space="preserve">Using guidance DEPS of $21.43 (using actual guidance range midpoint $21.425):</w:t>
      </w:r>
    </w:p>
    <w:p>
      <w:pPr>
        <w:pStyle w:val="BodyText"/>
      </w:pPr>
      <m:oMathPara>
        <m:oMathParaPr>
          <m:jc m:val="center"/>
        </m:oMathParaPr>
        <m:oMath>
          <m:r>
            <m:rPr>
              <m:nor/>
              <m:sty m:val="p"/>
            </m:rPr>
            <m:t>Implied Earnings Growth</m:t>
          </m:r>
          <m:r>
            <m:t>=</m:t>
          </m:r>
          <m:f>
            <m:fPr>
              <m:type m:val="bar"/>
            </m:fPr>
            <m:num>
              <m:r>
                <m:t>$</m:t>
              </m:r>
              <m:r>
                <m:t>21.425</m:t>
              </m:r>
              <m:r>
                <m:t>×</m:t>
              </m:r>
              <m:r>
                <m:t>108.5</m:t>
              </m:r>
              <m:r>
                <m:t>M</m:t>
              </m:r>
              <m:r>
                <m:t>−</m:t>
              </m:r>
              <m:r>
                <m:t>$</m:t>
              </m:r>
              <m:r>
                <m:t>2</m:t>
              </m:r>
              <m:r>
                <m:t>,</m:t>
              </m:r>
              <m:r>
                <m:t>163</m:t>
              </m:r>
              <m:r>
                <m:t>M</m:t>
              </m:r>
            </m:num>
            <m:den>
              <m:r>
                <m:t>−</m:t>
              </m:r>
            </m:den>
          </m:f>
          <m:r>
            <m:t>=</m:t>
          </m:r>
          <m:r>
            <m:rPr>
              <m:nor/>
              <m:sty m:val="p"/>
            </m:rPr>
            <m:t>Err: circular</m:t>
          </m:r>
        </m:oMath>
      </m:oMathPara>
    </w:p>
    <w:p>
      <w:pPr>
        <w:pStyle w:val="FirstParagraph"/>
      </w:pPr>
      <w:r>
        <w:t xml:space="preserve">Instead, working backward from guidance:</w:t>
      </w:r>
    </w:p>
    <w:p>
      <w:pPr>
        <w:pStyle w:val="BodyText"/>
      </w:pPr>
      <m:oMathPara>
        <m:oMathParaPr>
          <m:jc m:val="center"/>
        </m:oMathParaPr>
        <m:oMath>
          <m:r>
            <m:rPr>
              <m:nor/>
              <m:sty m:val="p"/>
            </m:rPr>
            <m:t>Implied Net Earnings (pre-tax)</m:t>
          </m:r>
          <m:r>
            <m:t>=</m:t>
          </m:r>
          <m:f>
            <m:fPr>
              <m:type m:val="bar"/>
            </m:fPr>
            <m:num>
              <m:r>
                <m:t>$</m:t>
              </m:r>
              <m:r>
                <m:t>21.425</m:t>
              </m:r>
              <m:r>
                <m:t>×</m:t>
              </m:r>
              <m:r>
                <m:t>108.5</m:t>
              </m:r>
              <m:r>
                <m:t>M</m:t>
              </m:r>
              <m:r>
                <m:t>×</m:t>
              </m:r>
              <m:r>
                <m:t>(</m:t>
              </m:r>
              <m:r>
                <m:t>1</m:t>
              </m:r>
              <m:r>
                <m:t>−</m:t>
              </m:r>
              <m:r>
                <m:t>0.215</m:t>
              </m:r>
              <m:r>
                <m:t>)</m:t>
              </m:r>
            </m:num>
            <m:den>
              <m:r>
                <m:t>1</m:t>
              </m:r>
            </m:den>
          </m:f>
          <m:r>
            <m:t>=</m:t>
          </m:r>
          <m:r>
            <m:t>≈</m:t>
          </m:r>
          <m:r>
            <m:t>$</m:t>
          </m:r>
          <m:r>
            <m:t>1</m:t>
          </m:r>
          <m:r>
            <m:t>,</m:t>
          </m:r>
          <m:r>
            <m:t>687</m:t>
          </m:r>
          <m:r>
            <m:t>M</m:t>
          </m:r>
          <m:r>
            <m:rPr>
              <m:nor/>
              <m:sty m:val="p"/>
            </m:rPr>
            <m:t> (GAAP, adjusted for add-backs)</m:t>
          </m:r>
        </m:oMath>
      </m:oMathPara>
    </w:p>
    <w:p>
      <w:pPr>
        <w:pStyle w:val="FirstParagraph"/>
      </w:pPr>
      <m:oMathPara>
        <m:oMathParaPr>
          <m:jc m:val="center"/>
        </m:oMathParaPr>
        <m:oMath>
          <m:r>
            <m:rPr>
              <m:nor/>
              <m:sty m:val="p"/>
            </m:rPr>
            <m:t>Implied Adj. Earnings</m:t>
          </m:r>
          <m:r>
            <m:t>=</m:t>
          </m:r>
          <m:r>
            <m:t>$</m:t>
          </m:r>
          <m:r>
            <m:t>1</m:t>
          </m:r>
          <m:r>
            <m:t>,</m:t>
          </m:r>
          <m:r>
            <m:t>687</m:t>
          </m:r>
          <m:r>
            <m:t>M</m:t>
          </m:r>
          <m:r>
            <m:t>+</m:t>
          </m:r>
          <m:r>
            <m:rPr>
              <m:nor/>
              <m:sty m:val="p"/>
            </m:rPr>
            <m:t>Amort + SBC (after-tax)</m:t>
          </m:r>
          <m:r>
            <m:t>≈</m:t>
          </m:r>
          <m:r>
            <m:t>$</m:t>
          </m:r>
          <m:r>
            <m:t>2</m:t>
          </m:r>
          <m:r>
            <m:t>,</m:t>
          </m:r>
          <m:r>
            <m:t>310</m:t>
          </m:r>
          <m:r>
            <m:t>M</m:t>
          </m:r>
        </m:oMath>
      </m:oMathPara>
    </w:p>
    <w:p>
      <w:pPr>
        <w:pStyle w:val="FirstParagraph"/>
      </w:pPr>
      <m:oMathPara>
        <m:oMathParaPr>
          <m:jc m:val="center"/>
        </m:oMathParaPr>
        <m:oMath>
          <m:r>
            <m:rPr>
              <m:nor/>
              <m:sty m:val="p"/>
            </m:rPr>
            <m:t>Implied Adj. EBITDA</m:t>
          </m:r>
          <m:r>
            <m:t>=</m:t>
          </m:r>
          <m:r>
            <m:t>$</m:t>
          </m:r>
          <m:r>
            <m:t>2</m:t>
          </m:r>
          <m:r>
            <m:t>,</m:t>
          </m:r>
          <m:r>
            <m:t>310</m:t>
          </m:r>
          <m:r>
            <m:t>M</m:t>
          </m:r>
          <m:r>
            <m:t>+</m:t>
          </m:r>
          <m:r>
            <m:rPr>
              <m:nor/>
              <m:sty m:val="p"/>
            </m:rPr>
            <m:t>Interest + Taxes</m:t>
          </m:r>
          <m:r>
            <m:t>≈</m:t>
          </m:r>
          <m:r>
            <m:t>$</m:t>
          </m:r>
          <m:r>
            <m:t>3</m:t>
          </m:r>
          <m:r>
            <m:t>,</m:t>
          </m:r>
          <m:r>
            <m:t>360</m:t>
          </m:r>
          <m:r>
            <m:t>M</m:t>
          </m:r>
        </m:oMath>
      </m:oMathPara>
    </w:p>
    <w:p>
      <w:pPr>
        <w:pStyle w:val="FirstParagraph"/>
      </w:pPr>
      <w:r>
        <w:t xml:space="preserve">This implies</w:t>
      </w:r>
      <w:r>
        <w:t xml:space="preserve"> </w:t>
      </w:r>
      <w:r>
        <w:rPr>
          <w:b/>
        </w:rPr>
        <w:t xml:space="preserve">39.3% EBITDA margin</w:t>
      </w:r>
      <w:r>
        <w:t xml:space="preserve">, consistent with my conservative estimate of 39.6%.</w:t>
      </w:r>
    </w:p>
    <w:p>
      <w:r>
        <w:pict>
          <v:rect style="width:0;height:1.5pt" o:hralign="center" o:hrstd="t" o:hr="t"/>
        </w:pict>
      </w:r>
    </w:p>
    <w:p>
      <w:pPr>
        <w:pStyle w:val="Heading3"/>
      </w:pPr>
      <w:bookmarkStart w:id="98" w:name="Xe1bac7197142c0ee2730a78d2860cccb6601d51"/>
      <w:r>
        <w:t xml:space="preserve">5G. Working Capital Analysis and Cash Conversion</w:t>
      </w:r>
      <w:bookmarkEnd w:id="98"/>
    </w:p>
    <w:p>
      <w:pPr>
        <w:pStyle w:val="Heading4"/>
      </w:pPr>
      <w:bookmarkStart w:id="99" w:name="working-capital-components-fy2025"/>
      <w:r>
        <w:rPr>
          <w:b/>
        </w:rPr>
        <w:t xml:space="preserve">Working Capital Components (FY2025):</w:t>
      </w:r>
      <w:bookmarkEnd w:id="99"/>
    </w:p>
    <w:tbl>
      <w:tblPr>
        <w:tblStyle w:val="Table"/>
        <w:tblW w:type="pct" w:w="5000.0"/>
        <w:tblLook w:firstRow="1"/>
      </w:tblPr>
      <w:tblGrid>
        <w:gridCol w:w="1980"/>
        <w:gridCol w:w="1980"/>
        <w:gridCol w:w="1980"/>
        <w:gridCol w:w="1980"/>
      </w:tblGrid>
      <w:tr>
        <w:trPr>
          <w:cnfStyle w:firstRow="1"/>
        </w:trPr>
        <w:tc>
          <w:tcPr>
            <w:tcBorders>
              <w:bottom w:val="single"/>
            </w:tcBorders>
            <w:vAlign w:val="bottom"/>
          </w:tcPr>
          <w:p>
            <w:pPr>
              <w:pStyle w:val="Compact"/>
              <w:jc w:val="left"/>
            </w:pPr>
            <w:r>
              <w:t xml:space="preserve">Item</w:t>
            </w:r>
          </w:p>
        </w:tc>
        <w:tc>
          <w:tcPr>
            <w:tcBorders>
              <w:bottom w:val="single"/>
            </w:tcBorders>
            <w:vAlign w:val="bottom"/>
          </w:tcPr>
          <w:p>
            <w:pPr>
              <w:pStyle w:val="Compact"/>
              <w:jc w:val="left"/>
            </w:pPr>
            <w:r>
              <w:t xml:space="preserve">Amount ($M)</w:t>
            </w:r>
          </w:p>
        </w:tc>
        <w:tc>
          <w:tcPr>
            <w:tcBorders>
              <w:bottom w:val="single"/>
            </w:tcBorders>
            <w:vAlign w:val="bottom"/>
          </w:tcPr>
          <w:p>
            <w:pPr>
              <w:pStyle w:val="Compact"/>
              <w:jc w:val="left"/>
            </w:pPr>
            <w:r>
              <w:t xml:space="preserve">Days (based on FY2025)</w:t>
            </w:r>
          </w:p>
        </w:tc>
        <w:tc>
          <w:tcPr>
            <w:tcBorders>
              <w:bottom w:val="single"/>
            </w:tcBorders>
            <w:vAlign w:val="bottom"/>
          </w:tcPr>
          <w:p>
            <w:pPr>
              <w:pStyle w:val="Compact"/>
              <w:jc w:val="left"/>
            </w:pPr>
            <w:r>
              <w:t xml:space="preserve">Change vs. FY2024</w:t>
            </w:r>
          </w:p>
        </w:tc>
      </w:tr>
      <w:tr>
        <w:tc>
          <w:p>
            <w:pPr>
              <w:pStyle w:val="Compact"/>
              <w:jc w:val="left"/>
            </w:pPr>
            <w:r>
              <w:rPr>
                <w:b/>
              </w:rPr>
              <w:t xml:space="preserve">Accounts Receivable</w:t>
            </w:r>
          </w:p>
        </w:tc>
        <w:tc>
          <w:p>
            <w:pPr>
              <w:pStyle w:val="Compact"/>
              <w:jc w:val="left"/>
            </w:pPr>
            <w:r>
              <w:t xml:space="preserve">$1,001M</w:t>
            </w:r>
          </w:p>
        </w:tc>
        <w:tc>
          <w:p>
            <w:pPr>
              <w:pStyle w:val="Compact"/>
              <w:jc w:val="left"/>
            </w:pPr>
            <w:r>
              <w:rPr>
                <w:b/>
              </w:rPr>
              <w:t xml:space="preserve">46 days sales outstanding (DSO)</w:t>
            </w:r>
          </w:p>
        </w:tc>
        <w:tc>
          <w:p>
            <w:pPr>
              <w:pStyle w:val="Compact"/>
              <w:jc w:val="left"/>
            </w:pPr>
            <w:r>
              <w:t xml:space="preserve">+$100M (est.)</w:t>
            </w:r>
          </w:p>
        </w:tc>
      </w:tr>
      <w:tr>
        <w:tc>
          <w:p>
            <w:pPr>
              <w:pStyle w:val="Compact"/>
              <w:jc w:val="left"/>
            </w:pPr>
            <w:r>
              <w:rPr>
                <w:b/>
              </w:rPr>
              <w:t xml:space="preserve">Inventory</w:t>
            </w:r>
          </w:p>
        </w:tc>
        <w:tc>
          <w:p>
            <w:pPr>
              <w:pStyle w:val="Compact"/>
              <w:jc w:val="left"/>
            </w:pPr>
            <m:oMath>
              <m:r>
                <m:t>141.7</m:t>
              </m:r>
              <m:r>
                <m:t>M</m:t>
              </m:r>
              <m:r>
                <m:t>|</m:t>
              </m:r>
              <m:r>
                <m:t>*</m:t>
              </m:r>
              <m:r>
                <m:t>*</m:t>
              </m:r>
              <m:r>
                <m:t>8</m:t>
              </m:r>
              <m:r>
                <m:t>d</m:t>
              </m:r>
              <m:r>
                <m:t>a</m:t>
              </m:r>
              <m:r>
                <m:t>y</m:t>
              </m:r>
              <m:r>
                <m:t>s</m:t>
              </m:r>
              <m:r>
                <m:t>i</m:t>
              </m:r>
              <m:r>
                <m:t>n</m:t>
              </m:r>
              <m:r>
                <m:t>v</m:t>
              </m:r>
              <m:r>
                <m:t>e</m:t>
              </m:r>
              <m:r>
                <m:t>n</m:t>
              </m:r>
              <m:r>
                <m:t>t</m:t>
              </m:r>
              <m:r>
                <m:t>o</m:t>
              </m:r>
              <m:r>
                <m:t>r</m:t>
              </m:r>
              <m:r>
                <m:t>y</m:t>
              </m:r>
              <m:r>
                <m:t>o</m:t>
              </m:r>
              <m:r>
                <m:t>u</m:t>
              </m:r>
              <m:r>
                <m:t>t</m:t>
              </m:r>
              <m:r>
                <m:t>s</m:t>
              </m:r>
              <m:r>
                <m:t>t</m:t>
              </m:r>
              <m:r>
                <m:t>a</m:t>
              </m:r>
              <m:r>
                <m:t>n</m:t>
              </m:r>
              <m:r>
                <m:t>d</m:t>
              </m:r>
              <m:r>
                <m:t>i</m:t>
              </m:r>
              <m:r>
                <m:t>n</m:t>
              </m:r>
              <m:r>
                <m:t>g</m:t>
              </m:r>
              <m:r>
                <m:t>(</m:t>
              </m:r>
              <m:r>
                <m:t>D</m:t>
              </m:r>
              <m:r>
                <m:t>I</m:t>
              </m:r>
              <m:r>
                <m:t>O</m:t>
              </m:r>
              <m:r>
                <m:t>)</m:t>
              </m:r>
              <m:r>
                <m:t>*</m:t>
              </m:r>
              <m:r>
                <m:t>*</m:t>
              </m:r>
              <m:r>
                <m:t>|</m:t>
              </m:r>
              <m:r>
                <m:t>S</m:t>
              </m:r>
              <m:r>
                <m:t>t</m:t>
              </m:r>
              <m:r>
                <m:t>a</m:t>
              </m:r>
              <m:r>
                <m:t>b</m:t>
              </m:r>
              <m:r>
                <m:t>l</m:t>
              </m:r>
              <m:r>
                <m:t>e</m:t>
              </m:r>
              <m:r>
                <m:t>|</m:t>
              </m:r>
              <m:r>
                <m:t>|</m:t>
              </m:r>
              <m:r>
                <m:t>*</m:t>
              </m:r>
              <m:r>
                <m:t>*</m:t>
              </m:r>
              <m:r>
                <m:t>A</m:t>
              </m:r>
              <m:r>
                <m:t>c</m:t>
              </m:r>
              <m:r>
                <m:t>c</m:t>
              </m:r>
              <m:r>
                <m:t>o</m:t>
              </m:r>
              <m:r>
                <m:t>u</m:t>
              </m:r>
              <m:r>
                <m:t>n</m:t>
              </m:r>
              <m:r>
                <m:t>t</m:t>
              </m:r>
              <m:r>
                <m:t>s</m:t>
              </m:r>
              <m:r>
                <m:t>P</m:t>
              </m:r>
              <m:r>
                <m:t>a</m:t>
              </m:r>
              <m:r>
                <m:t>y</m:t>
              </m:r>
              <m:r>
                <m:t>a</m:t>
              </m:r>
              <m:r>
                <m:t>b</m:t>
              </m:r>
              <m:r>
                <m:t>l</m:t>
              </m:r>
              <m:r>
                <m:t>e</m:t>
              </m:r>
              <m:r>
                <m:t>*</m:t>
              </m:r>
              <m:r>
                <m:t>*</m:t>
              </m:r>
              <m:r>
                <m:t>|</m:t>
              </m:r>
              <m:r>
                <m:t> </m:t>
              </m:r>
            </m:oMath>
            <w:r>
              <w:t xml:space="preserve">(850)M</w:t>
            </w:r>
          </w:p>
        </w:tc>
        <w:tc>
          <w:p>
            <w:pPr>
              <w:pStyle w:val="Compact"/>
              <w:jc w:val="left"/>
            </w:pPr>
            <w:r>
              <w:rPr>
                <w:b/>
              </w:rPr>
              <w:t xml:space="preserve">32 days payable outstanding (DPO)</w:t>
            </w:r>
          </w:p>
        </w:tc>
        <w:tc>
          <w:p>
            <w:pPr>
              <w:pStyle w:val="Compact"/>
              <w:jc w:val="left"/>
            </w:pPr>
            <w:r>
              <w:t xml:space="preserve">+(50)M (est.)</w:t>
            </w:r>
          </w:p>
        </w:tc>
      </w:tr>
      <w:tr>
        <w:tc>
          <w:p>
            <w:pPr>
              <w:pStyle w:val="Compact"/>
              <w:jc w:val="left"/>
            </w:pPr>
            <w:r>
              <w:rPr>
                <w:b/>
              </w:rPr>
              <w:t xml:space="preserve">Deferred Revenue (current)</w:t>
            </w:r>
          </w:p>
        </w:tc>
        <w:tc>
          <w:p>
            <w:pPr>
              <w:pStyle w:val="Compact"/>
              <w:jc w:val="left"/>
            </w:pPr>
            <m:oMath>
              <m:r>
                <m:t>(</m:t>
              </m:r>
              <m:r>
                <m:t>1</m:t>
              </m:r>
              <m:r>
                <m:t>,</m:t>
              </m:r>
              <m:r>
                <m:t>907</m:t>
              </m:r>
              <m:r>
                <m:t>)</m:t>
              </m:r>
              <m:r>
                <m:t>M</m:t>
              </m:r>
              <m:r>
                <m:t>|</m:t>
              </m:r>
              <m:r>
                <m:t>*</m:t>
              </m:r>
              <m:r>
                <m:t>*</m:t>
              </m:r>
              <m:r>
                <m:t>88</m:t>
              </m:r>
              <m:r>
                <m:t>d</m:t>
              </m:r>
              <m:r>
                <m:t>a</m:t>
              </m:r>
              <m:r>
                <m:t>y</m:t>
              </m:r>
              <m:r>
                <m:t>s</m:t>
              </m:r>
              <m:r>
                <m:t>p</m:t>
              </m:r>
              <m:r>
                <m:t>r</m:t>
              </m:r>
              <m:r>
                <m:t>e</m:t>
              </m:r>
              <m:r>
                <m:t>−</m:t>
              </m:r>
              <m:r>
                <m:t>c</m:t>
              </m:r>
              <m:r>
                <m:t>o</m:t>
              </m:r>
              <m:r>
                <m:t>l</m:t>
              </m:r>
              <m:r>
                <m:t>l</m:t>
              </m:r>
              <m:r>
                <m:t>e</m:t>
              </m:r>
              <m:r>
                <m:t>c</m:t>
              </m:r>
              <m:r>
                <m:t>t</m:t>
              </m:r>
              <m:r>
                <m:t>e</m:t>
              </m:r>
              <m:r>
                <m:t>d</m:t>
              </m:r>
              <m:r>
                <m:t>r</m:t>
              </m:r>
              <m:r>
                <m:t>e</m:t>
              </m:r>
              <m:r>
                <m:t>v</m:t>
              </m:r>
              <m:r>
                <m:t>e</m:t>
              </m:r>
              <m:r>
                <m:t>n</m:t>
              </m:r>
              <m:r>
                <m:t>u</m:t>
              </m:r>
              <m:r>
                <m:t>e</m:t>
              </m:r>
              <m:r>
                <m:t>*</m:t>
              </m:r>
              <m:r>
                <m:t>*</m:t>
              </m:r>
              <m:r>
                <m:t>|</m:t>
              </m:r>
              <m:r>
                <m:t>+</m:t>
              </m:r>
              <m:r>
                <m:t>(</m:t>
              </m:r>
              <m:r>
                <m:t>150</m:t>
              </m:r>
              <m:r>
                <m:t>)</m:t>
              </m:r>
              <m:r>
                <m:t>M</m:t>
              </m:r>
              <m:r>
                <m:t>|</m:t>
              </m:r>
              <m:r>
                <m:t>|</m:t>
              </m:r>
              <m:r>
                <m:t>*</m:t>
              </m:r>
              <m:r>
                <m:t>*</m:t>
              </m:r>
              <m:r>
                <m:t>N</m:t>
              </m:r>
              <m:r>
                <m:t>e</m:t>
              </m:r>
              <m:r>
                <m:t>t</m:t>
              </m:r>
              <m:r>
                <m:t>W</m:t>
              </m:r>
              <m:r>
                <m:t>o</m:t>
              </m:r>
              <m:r>
                <m:t>r</m:t>
              </m:r>
              <m:r>
                <m:t>k</m:t>
              </m:r>
              <m:r>
                <m:t>i</m:t>
              </m:r>
              <m:r>
                <m:t>n</m:t>
              </m:r>
              <m:r>
                <m:t>g</m:t>
              </m:r>
              <m:r>
                <m:t>C</m:t>
              </m:r>
              <m:r>
                <m:t>a</m:t>
              </m:r>
              <m:r>
                <m:t>p</m:t>
              </m:r>
              <m:r>
                <m:t>i</m:t>
              </m:r>
              <m:r>
                <m:t>t</m:t>
              </m:r>
              <m:r>
                <m:t>a</m:t>
              </m:r>
              <m:r>
                <m:t>l</m:t>
              </m:r>
              <m:r>
                <m:t>*</m:t>
              </m:r>
              <m:r>
                <m:t>*</m:t>
              </m:r>
              <m:r>
                <m:t>|</m:t>
              </m:r>
              <m:r>
                <m:t> </m:t>
              </m:r>
            </m:oMath>
            <w:r>
              <w:t xml:space="preserve">(1,614)M</w:t>
            </w:r>
          </w:p>
        </w:tc>
        <w:tc>
          <w:p>
            <w:pPr>
              <w:pStyle w:val="Compact"/>
              <w:jc w:val="left"/>
            </w:pPr>
            <w:r>
              <w:t xml:space="preserve">—</w:t>
            </w:r>
          </w:p>
        </w:tc>
        <w:tc>
          <w:p>
            <w:pPr>
              <w:pStyle w:val="Compact"/>
              <w:jc w:val="left"/>
            </w:pPr>
            <w:r>
              <w:t xml:space="preserve">+(85)M (est.)</w:t>
            </w:r>
          </w:p>
        </w:tc>
      </w:tr>
      <w:tr>
        <w:tc>
          <w:p>
            <w:pPr>
              <w:pStyle w:val="Compact"/>
              <w:jc w:val="left"/>
            </w:pPr>
            <w:r>
              <w:rPr>
                <w:b/>
              </w:rPr>
              <w:t xml:space="preserve">Operating Cycle</w:t>
            </w:r>
          </w:p>
        </w:tc>
        <w:tc>
          <w:p>
            <w:pPr>
              <w:pStyle w:val="Compact"/>
              <w:jc w:val="left"/>
            </w:pPr>
            <w:r>
              <w:t xml:space="preserve">14 days</w:t>
            </w:r>
          </w:p>
        </w:tc>
        <w:tc>
          <w:p>
            <w:pPr>
              <w:pStyle w:val="Compact"/>
              <w:jc w:val="left"/>
            </w:pPr>
            <w:r>
              <w:t xml:space="preserve">—</w:t>
            </w:r>
          </w:p>
        </w:tc>
        <w:tc>
          <w:p>
            <w:pPr>
              <w:pStyle w:val="Compact"/>
              <w:jc w:val="left"/>
            </w:pPr>
            <w:r>
              <w:t xml:space="preserve">2-day improvement</w:t>
            </w:r>
          </w:p>
        </w:tc>
      </w:tr>
    </w:tbl>
    <w:p>
      <w:pPr>
        <w:pStyle w:val="BodyText"/>
      </w:pPr>
      <w:r>
        <w:rPr>
          <w:b/>
        </w:rPr>
        <w:t xml:space="preserve">Cash Conversion Metric (Cash Conversion Cycle, CCC):</w:t>
      </w:r>
    </w:p>
    <w:p>
      <w:pPr>
        <w:pStyle w:val="BodyText"/>
      </w:pPr>
      <m:oMathPara>
        <m:oMathParaPr>
          <m:jc m:val="center"/>
        </m:oMathParaPr>
        <m:oMath>
          <m:r>
            <m:rPr>
              <m:nor/>
              <m:sty m:val="p"/>
            </m:rPr>
            <m:t>CCC</m:t>
          </m:r>
          <m:r>
            <m:t>=</m:t>
          </m:r>
          <m:r>
            <m:rPr>
              <m:nor/>
              <m:sty m:val="p"/>
            </m:rPr>
            <m:t>DSO</m:t>
          </m:r>
          <m:r>
            <m:t>+</m:t>
          </m:r>
          <m:r>
            <m:rPr>
              <m:nor/>
              <m:sty m:val="p"/>
            </m:rPr>
            <m:t>DIO</m:t>
          </m:r>
          <m:r>
            <m:t>−</m:t>
          </m:r>
          <m:r>
            <m:rPr>
              <m:nor/>
              <m:sty m:val="p"/>
            </m:rPr>
            <m:t>DPO</m:t>
          </m:r>
          <m:r>
            <m:t>=</m:t>
          </m:r>
          <m:r>
            <m:t>46</m:t>
          </m:r>
          <m:r>
            <m:t>+</m:t>
          </m:r>
          <m:r>
            <m:t>8</m:t>
          </m:r>
          <m:r>
            <m:t>−</m:t>
          </m:r>
          <m:r>
            <m:t>32</m:t>
          </m:r>
          <m:r>
            <m:t>=</m:t>
          </m:r>
          <m:borderBox>
            <m:e>
              <m:r>
                <m:t>22</m:t>
              </m:r>
              <m:r>
                <m:rPr>
                  <m:nor/>
                  <m:sty m:val="p"/>
                </m:rPr>
                <m:t> days</m:t>
              </m:r>
            </m:e>
          </m:borderBox>
        </m:oMath>
      </m:oMathPara>
    </w:p>
    <w:p>
      <w:pPr>
        <w:pStyle w:val="FirstParagraph"/>
      </w:pPr>
      <w:r>
        <w:rPr>
          <w:b/>
        </w:rPr>
        <w:t xml:space="preserve">Interpretation:</w:t>
      </w:r>
      <w:r>
        <w:t xml:space="preserve"> </w:t>
      </w:r>
      <w:r>
        <w:t xml:space="preserve">-</w:t>
      </w:r>
      <w:r>
        <w:t xml:space="preserve"> </w:t>
      </w:r>
      <w:r>
        <w:rPr>
          <w:b/>
        </w:rPr>
        <w:t xml:space="preserve">Low CCC (22 days):</w:t>
      </w:r>
      <w:r>
        <w:t xml:space="preserve"> </w:t>
      </w:r>
      <w:r>
        <w:t xml:space="preserve">ROP collects cash from customers ~22 days faster than it pays suppliers. This is favorable and typical for SaaS/software businesses with deferred revenue.</w:t>
      </w:r>
      <w:r>
        <w:t xml:space="preserve"> </w:t>
      </w:r>
      <w:r>
        <w:t xml:space="preserve">-</w:t>
      </w:r>
      <w:r>
        <w:t xml:space="preserve"> </w:t>
      </w:r>
      <w:r>
        <w:rPr>
          <w:b/>
        </w:rPr>
        <w:t xml:space="preserve">Deferred Revenue Benefit:</w:t>
      </w:r>
      <w:r>
        <w:t xml:space="preserve"> </w:t>
      </w:r>
      <w:r>
        <w:t xml:space="preserve">$1,907M current deferred revenue acts as</w:t>
      </w:r>
      <w:r>
        <w:t xml:space="preserve"> </w:t>
      </w:r>
      <w:r>
        <w:t xml:space="preserve">“</w:t>
      </w:r>
      <w:r>
        <w:t xml:space="preserve">negative working capital,</w:t>
      </w:r>
      <w:r>
        <w:t xml:space="preserve">”</w:t>
      </w:r>
      <w:r>
        <w:t xml:space="preserve"> </w:t>
      </w:r>
      <w:r>
        <w:t xml:space="preserve">providing free financing of operations.</w:t>
      </w:r>
      <w:r>
        <w:t xml:space="preserve"> </w:t>
      </w:r>
      <w:r>
        <w:t xml:space="preserve">-</w:t>
      </w:r>
      <w:r>
        <w:t xml:space="preserve"> </w:t>
      </w:r>
      <w:r>
        <w:rPr>
          <w:b/>
        </w:rPr>
        <w:t xml:space="preserve">Working Capital Trend:</w:t>
      </w:r>
      <w:r>
        <w:t xml:space="preserve"> </w:t>
      </w:r>
      <w:r>
        <w:t xml:space="preserve">Stable; no material deterioration expected as business scales.</w:t>
      </w:r>
    </w:p>
    <w:p>
      <w:pPr>
        <w:pStyle w:val="Heading4"/>
      </w:pPr>
      <w:bookmarkStart w:id="100" w:name="cash-conversion-cycle-sustainability"/>
      <w:r>
        <w:rPr>
          <w:b/>
        </w:rPr>
        <w:t xml:space="preserve">Cash Conversion Cycle Sustainability:</w:t>
      </w:r>
      <w:bookmarkEnd w:id="100"/>
    </w:p>
    <w:p>
      <w:pPr>
        <w:pStyle w:val="FirstParagraph"/>
      </w:pPr>
      <w:r>
        <w:t xml:space="preserve">FY2025 OCF/Revenue ratio of 32.1% vs. EBITDA margin of 39.8% implies:</w:t>
      </w:r>
    </w:p>
    <w:p>
      <w:pPr>
        <w:pStyle w:val="BodyText"/>
      </w:pPr>
      <m:oMathPara>
        <m:oMathParaPr>
          <m:jc m:val="center"/>
        </m:oMathParaPr>
        <m:oMath>
          <m:r>
            <m:rPr>
              <m:nor/>
              <m:sty m:val="p"/>
            </m:rPr>
            <m:t>OCF/EBITDA</m:t>
          </m:r>
          <m:r>
            <m:t>=</m:t>
          </m:r>
          <m:f>
            <m:fPr>
              <m:type m:val="bar"/>
            </m:fPr>
            <m:num>
              <m:r>
                <m:t>$</m:t>
              </m:r>
              <m:r>
                <m:t>2</m:t>
              </m:r>
              <m:r>
                <m:t>,</m:t>
              </m:r>
              <m:r>
                <m:t>540.3</m:t>
              </m:r>
              <m:r>
                <m:t>M</m:t>
              </m:r>
            </m:num>
            <m:den>
              <m:r>
                <m:t>$</m:t>
              </m:r>
              <m:r>
                <m:t>3</m:t>
              </m:r>
              <m:r>
                <m:t>,</m:t>
              </m:r>
              <m:r>
                <m:t>143</m:t>
              </m:r>
              <m:r>
                <m:t>M</m:t>
              </m:r>
            </m:den>
          </m:f>
          <m:r>
            <m:t>=</m:t>
          </m:r>
          <m:r>
            <m:t>80.8</m:t>
          </m:r>
          <m:r>
            <m:t>%</m:t>
          </m:r>
        </m:oMath>
      </m:oMathPara>
    </w:p>
    <w:p>
      <w:pPr>
        <w:pStyle w:val="FirstParagraph"/>
      </w:pPr>
      <w:r>
        <w:t xml:space="preserve">This high conversion rate (vs. 70–75% typical for industrials) reflects:</w:t>
      </w:r>
      <w:r>
        <w:t xml:space="preserve"> </w:t>
      </w:r>
      <w:r>
        <w:t xml:space="preserve">1.</w:t>
      </w:r>
      <w:r>
        <w:t xml:space="preserve"> </w:t>
      </w:r>
      <w:r>
        <w:rPr>
          <w:b/>
        </w:rPr>
        <w:t xml:space="preserve">Deferred revenue conversion:</w:t>
      </w:r>
      <w:r>
        <w:t xml:space="preserve"> </w:t>
      </w:r>
      <w:r>
        <w:t xml:space="preserve">Upfront customer payments = rapid cash collection.</w:t>
      </w:r>
      <w:r>
        <w:t xml:space="preserve"> </w:t>
      </w:r>
      <w:r>
        <w:t xml:space="preserve">2.</w:t>
      </w:r>
      <w:r>
        <w:t xml:space="preserve"> </w:t>
      </w:r>
      <w:r>
        <w:rPr>
          <w:b/>
        </w:rPr>
        <w:t xml:space="preserve">Minimal inventory:</w:t>
      </w:r>
      <w:r>
        <w:t xml:space="preserve"> </w:t>
      </w:r>
      <w:r>
        <w:t xml:space="preserve">Tech Products segment inventory is small.</w:t>
      </w:r>
      <w:r>
        <w:t xml:space="preserve"> </w:t>
      </w:r>
      <w:r>
        <w:t xml:space="preserve">3.</w:t>
      </w:r>
      <w:r>
        <w:t xml:space="preserve"> </w:t>
      </w:r>
      <w:r>
        <w:rPr>
          <w:b/>
        </w:rPr>
        <w:t xml:space="preserve">Low capex:</w:t>
      </w:r>
      <w:r>
        <w:t xml:space="preserve"> </w:t>
      </w:r>
      <w:r>
        <w:t xml:space="preserve">$104M capex is tiny relative to OCF.</w:t>
      </w:r>
    </w:p>
    <w:p>
      <w:pPr>
        <w:pStyle w:val="BodyText"/>
      </w:pPr>
      <w:r>
        <w:rPr>
          <w:b/>
        </w:rPr>
        <w:t xml:space="preserve">Forecast FY2026 OCF:</w:t>
      </w:r>
    </w:p>
    <w:p>
      <w:pPr>
        <w:pStyle w:val="BodyText"/>
      </w:pPr>
      <m:oMathPara>
        <m:oMathParaPr>
          <m:jc m:val="center"/>
        </m:oMathParaPr>
        <m:oMath>
          <m:r>
            <m:rPr>
              <m:nor/>
              <m:sty m:val="p"/>
            </m:rPr>
            <m:t>OCF (FY2026E)</m:t>
          </m:r>
          <m:r>
            <m:t>=</m:t>
          </m:r>
          <m:r>
            <m:rPr>
              <m:nor/>
              <m:sty m:val="p"/>
            </m:rPr>
            <m:t>EBITDA</m:t>
          </m:r>
          <m:r>
            <m:t>×</m:t>
          </m:r>
          <m:r>
            <m:t>0.80</m:t>
          </m:r>
          <m:r>
            <m:t>−</m:t>
          </m:r>
          <m:r>
            <m:rPr>
              <m:nor/>
              <m:sty m:val="p"/>
            </m:rPr>
            <m:t>Interest Paid</m:t>
          </m:r>
          <m:r>
            <m:t>−</m:t>
          </m:r>
          <m:r>
            <m:rPr>
              <m:nor/>
              <m:sty m:val="p"/>
            </m:rPr>
            <m:t>Tax Paid</m:t>
          </m:r>
        </m:oMath>
      </m:oMathPara>
    </w:p>
    <w:p>
      <w:pPr>
        <w:pStyle w:val="FirstParagraph"/>
      </w:pPr>
      <w:r>
        <w:t xml:space="preserve">Assuming:</w:t>
      </w:r>
      <w:r>
        <w:t xml:space="preserve"> </w:t>
      </w:r>
      <w:r>
        <w:t xml:space="preserve">- EBITDA: $3,384M</w:t>
      </w:r>
      <w:r>
        <w:t xml:space="preserve"> </w:t>
      </w:r>
      <w:r>
        <w:t xml:space="preserve">- Interest: $310M (debt service)</w:t>
      </w:r>
      <w:r>
        <w:t xml:space="preserve"> </w:t>
      </w:r>
      <w:r>
        <w:t xml:space="preserve">- Taxes: $342M (21.5% on $1,590M taxable income)</w:t>
      </w:r>
      <w:r>
        <w:t xml:space="preserve"> </w:t>
      </w:r>
      <w:r>
        <w:t xml:space="preserve">- Working capital: $(75)M (neutral, steady-state)</w:t>
      </w:r>
    </w:p>
    <w:p>
      <w:pPr>
        <w:pStyle w:val="BodyText"/>
      </w:pPr>
      <m:oMathPara>
        <m:oMathParaPr>
          <m:jc m:val="center"/>
        </m:oMathParaPr>
        <m:oMath>
          <m:r>
            <m:rPr>
              <m:nor/>
              <m:sty m:val="p"/>
            </m:rPr>
            <m:t>OCF</m:t>
          </m:r>
          <m:r>
            <m:t>=</m:t>
          </m:r>
          <m:r>
            <m:t>$</m:t>
          </m:r>
          <m:r>
            <m:t>3</m:t>
          </m:r>
          <m:r>
            <m:t>,</m:t>
          </m:r>
          <m:r>
            <m:t>384</m:t>
          </m:r>
          <m:r>
            <m:t>M</m:t>
          </m:r>
          <m:r>
            <m:t>×</m:t>
          </m:r>
          <m:r>
            <m:t>0.80</m:t>
          </m:r>
          <m:r>
            <m:t>−</m:t>
          </m:r>
          <m:r>
            <m:t>$</m:t>
          </m:r>
          <m:r>
            <m:t>310</m:t>
          </m:r>
          <m:r>
            <m:t>M</m:t>
          </m:r>
          <m:r>
            <m:t>−</m:t>
          </m:r>
          <m:r>
            <m:t>$</m:t>
          </m:r>
          <m:r>
            <m:t>342</m:t>
          </m:r>
          <m:r>
            <m:t>M</m:t>
          </m:r>
          <m:r>
            <m:t>−</m:t>
          </m:r>
          <m:r>
            <m:t>$</m:t>
          </m:r>
          <m:r>
            <m:t>75</m:t>
          </m:r>
          <m:r>
            <m:t>M</m:t>
          </m:r>
          <m:r>
            <m:t>=</m:t>
          </m:r>
          <m:r>
            <m:t>$</m:t>
          </m:r>
          <m:r>
            <m:t>2</m:t>
          </m:r>
          <m:r>
            <m:t>,</m:t>
          </m:r>
          <m:r>
            <m:t>770</m:t>
          </m:r>
          <m:r>
            <m:t>M</m:t>
          </m:r>
        </m:oMath>
      </m:oMathPara>
    </w:p>
    <w:p>
      <w:pPr>
        <w:pStyle w:val="FirstParagraph"/>
      </w:pPr>
      <w:r>
        <w:rPr>
          <w:b/>
        </w:rPr>
        <w:t xml:space="preserve">Consistency Check:</w:t>
      </w:r>
      <w:r>
        <w:t xml:space="preserve"> </w:t>
      </w:r>
      <w:r>
        <w:t xml:space="preserve">My FY2026E OCF of $2,770M vs. FCF of $2,610M (after $160M capex) is consistent with historical 30.6% FCF margin.</w:t>
      </w:r>
    </w:p>
    <w:p>
      <w:r>
        <w:pict>
          <v:rect style="width:0;height:1.5pt" o:hralign="center" o:hrstd="t" o:hr="t"/>
        </w:pict>
      </w:r>
    </w:p>
    <w:p>
      <w:pPr>
        <w:pStyle w:val="Heading3"/>
      </w:pPr>
      <w:bookmarkStart w:id="101" w:name="X8acaaa3062a1bb90f5f07b348a8a4d4055d7e6c"/>
      <w:r>
        <w:t xml:space="preserve">5H. Key Assumptions Summary and Sensitivity</w:t>
      </w:r>
      <w:bookmarkEnd w:id="101"/>
    </w:p>
    <w:p>
      <w:pPr>
        <w:pStyle w:val="Heading4"/>
      </w:pPr>
      <w:bookmarkStart w:id="102" w:name="core-forecasting-assumptions-fy2026e"/>
      <w:r>
        <w:rPr>
          <w:b/>
        </w:rPr>
        <w:t xml:space="preserve">Core Forecasting Assumptions (FY2026E):</w:t>
      </w:r>
      <w:bookmarkEnd w:id="102"/>
    </w:p>
    <w:tbl>
      <w:tblPr>
        <w:tblStyle w:val="Table"/>
        <w:tblW w:type="pct" w:w="5000.0"/>
        <w:tblLook w:firstRow="1"/>
      </w:tblPr>
      <w:tblGrid>
        <w:gridCol w:w="2640"/>
        <w:gridCol w:w="2640"/>
        <w:gridCol w:w="2640"/>
      </w:tblGrid>
      <w:tr>
        <w:trPr>
          <w:cnfStyle w:firstRow="1"/>
        </w:trPr>
        <w:tc>
          <w:tcPr>
            <w:tcBorders>
              <w:bottom w:val="single"/>
            </w:tcBorders>
            <w:vAlign w:val="bottom"/>
          </w:tcPr>
          <w:p>
            <w:pPr>
              <w:pStyle w:val="Compact"/>
              <w:jc w:val="left"/>
            </w:pPr>
            <w:r>
              <w:t xml:space="preserve">Assumption</w:t>
            </w:r>
          </w:p>
        </w:tc>
        <w:tc>
          <w:tcPr>
            <w:tcBorders>
              <w:bottom w:val="single"/>
            </w:tcBorders>
            <w:vAlign w:val="bottom"/>
          </w:tcPr>
          <w:p>
            <w:pPr>
              <w:pStyle w:val="Compact"/>
              <w:jc w:val="left"/>
            </w:pPr>
            <w:r>
              <w:t xml:space="preserve">Value</w:t>
            </w:r>
          </w:p>
        </w:tc>
        <w:tc>
          <w:tcPr>
            <w:tcBorders>
              <w:bottom w:val="single"/>
            </w:tcBorders>
            <w:vAlign w:val="bottom"/>
          </w:tcPr>
          <w:p>
            <w:pPr>
              <w:pStyle w:val="Compact"/>
              <w:jc w:val="left"/>
            </w:pPr>
            <w:r>
              <w:t xml:space="preserve">Basis</w:t>
            </w:r>
          </w:p>
        </w:tc>
      </w:tr>
      <w:tr>
        <w:tc>
          <w:p>
            <w:pPr>
              <w:pStyle w:val="Compact"/>
              <w:jc w:val="left"/>
            </w:pPr>
            <w:r>
              <w:rPr>
                <w:b/>
              </w:rPr>
              <w:t xml:space="preserve">Revenue Growth</w:t>
            </w:r>
          </w:p>
        </w:tc>
        <w:tc>
          <w:p>
            <w:pPr>
              <w:pStyle w:val="Compact"/>
              <w:jc w:val="left"/>
            </w:pPr>
            <w:r>
              <w:t xml:space="preserve">+8.0%</w:t>
            </w:r>
          </w:p>
        </w:tc>
        <w:tc>
          <w:p>
            <w:pPr>
              <w:pStyle w:val="Compact"/>
              <w:jc w:val="left"/>
            </w:pPr>
            <w:r>
              <w:t xml:space="preserve">Management guidance (organic +5–6%, M&amp;A +2–3%)</w:t>
            </w:r>
          </w:p>
        </w:tc>
      </w:tr>
      <w:tr>
        <w:tc>
          <w:p>
            <w:pPr>
              <w:pStyle w:val="Compact"/>
              <w:jc w:val="left"/>
            </w:pPr>
            <w:r>
              <w:rPr>
                <w:b/>
              </w:rPr>
              <w:t xml:space="preserve">Organic Growth (blended)</w:t>
            </w:r>
          </w:p>
        </w:tc>
        <w:tc>
          <w:p>
            <w:pPr>
              <w:pStyle w:val="Compact"/>
              <w:jc w:val="left"/>
            </w:pPr>
            <w:r>
              <w:t xml:space="preserve">+5.5%</w:t>
            </w:r>
          </w:p>
        </w:tc>
        <w:tc>
          <w:p>
            <w:pPr>
              <w:pStyle w:val="Compact"/>
              <w:jc w:val="left"/>
            </w:pPr>
            <w:r>
              <w:t xml:space="preserve">Segment guidance: App +5%, Network +4%, Products +6%</w:t>
            </w:r>
          </w:p>
        </w:tc>
      </w:tr>
      <w:tr>
        <w:tc>
          <w:p>
            <w:pPr>
              <w:pStyle w:val="Compact"/>
              <w:jc w:val="left"/>
            </w:pPr>
            <w:r>
              <w:rPr>
                <w:b/>
              </w:rPr>
              <w:t xml:space="preserve">M&amp;A Growth</w:t>
            </w:r>
          </w:p>
        </w:tc>
        <w:tc>
          <w:p>
            <w:pPr>
              <w:pStyle w:val="Compact"/>
              <w:jc w:val="left"/>
            </w:pPr>
            <w:r>
              <w:t xml:space="preserve">+2.5%</w:t>
            </w:r>
          </w:p>
        </w:tc>
        <w:tc>
          <w:p>
            <w:pPr>
              <w:pStyle w:val="Compact"/>
              <w:jc w:val="left"/>
            </w:pPr>
            <w:r>
              <w:t xml:space="preserve">~$3.5B deployed acquisitions ÷ $7,903M base revenue = +2.5%</w:t>
            </w:r>
          </w:p>
        </w:tc>
      </w:tr>
      <w:tr>
        <w:tc>
          <w:p>
            <w:pPr>
              <w:pStyle w:val="Compact"/>
              <w:jc w:val="left"/>
            </w:pPr>
            <w:r>
              <w:rPr>
                <w:b/>
              </w:rPr>
              <w:t xml:space="preserve">Gross Margin</w:t>
            </w:r>
          </w:p>
        </w:tc>
        <w:tc>
          <w:p>
            <w:pPr>
              <w:pStyle w:val="Compact"/>
              <w:jc w:val="left"/>
            </w:pPr>
            <w:r>
              <w:t xml:space="preserve">69.0%</w:t>
            </w:r>
          </w:p>
        </w:tc>
        <w:tc>
          <w:p>
            <w:pPr>
              <w:pStyle w:val="Compact"/>
              <w:jc w:val="left"/>
            </w:pPr>
            <w:r>
              <w:t xml:space="preserve">FY2025 actual 69.2% − 20 bps for cloud migration pressure</w:t>
            </w:r>
          </w:p>
        </w:tc>
      </w:tr>
      <w:tr>
        <w:tc>
          <w:p>
            <w:pPr>
              <w:pStyle w:val="Compact"/>
              <w:jc w:val="left"/>
            </w:pPr>
            <w:r>
              <w:rPr>
                <w:b/>
              </w:rPr>
              <w:t xml:space="preserve">SG&amp;A as % Revenue</w:t>
            </w:r>
          </w:p>
        </w:tc>
        <w:tc>
          <w:p>
            <w:pPr>
              <w:pStyle w:val="Compact"/>
              <w:jc w:val="left"/>
            </w:pPr>
            <w:r>
              <w:t xml:space="preserve">39.8%</w:t>
            </w:r>
          </w:p>
        </w:tc>
        <w:tc>
          <w:p>
            <w:pPr>
              <w:pStyle w:val="Compact"/>
              <w:jc w:val="left"/>
            </w:pPr>
            <w:r>
              <w:t xml:space="preserve">FY2025 actual 41.0% × operating leverage (−120 bps)</w:t>
            </w:r>
          </w:p>
        </w:tc>
      </w:tr>
      <w:tr>
        <w:tc>
          <w:p>
            <w:pPr>
              <w:pStyle w:val="Compact"/>
              <w:jc w:val="left"/>
            </w:pPr>
            <w:r>
              <w:rPr>
                <w:b/>
              </w:rPr>
              <w:t xml:space="preserve">Operating Margin</w:t>
            </w:r>
          </w:p>
        </w:tc>
        <w:tc>
          <w:p>
            <w:pPr>
              <w:pStyle w:val="Compact"/>
              <w:jc w:val="left"/>
            </w:pPr>
            <w:r>
              <w:t xml:space="preserve">29.1%</w:t>
            </w:r>
          </w:p>
        </w:tc>
        <w:tc>
          <w:p>
            <w:pPr>
              <w:pStyle w:val="Compact"/>
              <w:jc w:val="left"/>
            </w:pPr>
            <w:r>
              <w:t xml:space="preserve">Derived from above</w:t>
            </w:r>
          </w:p>
        </w:tc>
      </w:tr>
      <w:tr>
        <w:tc>
          <w:p>
            <w:pPr>
              <w:pStyle w:val="Compact"/>
              <w:jc w:val="left"/>
            </w:pPr>
            <w:r>
              <w:rPr>
                <w:b/>
              </w:rPr>
              <w:t xml:space="preserve">Adj. EBITDA Margin</w:t>
            </w:r>
          </w:p>
        </w:tc>
        <w:tc>
          <w:p>
            <w:pPr>
              <w:pStyle w:val="Compact"/>
              <w:jc w:val="left"/>
            </w:pPr>
            <w:r>
              <w:t xml:space="preserve">39.6%</w:t>
            </w:r>
          </w:p>
        </w:tc>
        <w:tc>
          <w:p>
            <w:pPr>
              <w:pStyle w:val="Compact"/>
              <w:jc w:val="left"/>
            </w:pPr>
            <w:r>
              <w:t xml:space="preserve">FY2025 39.8% − 20 bps for SBC/M&amp;A normalization</w:t>
            </w:r>
          </w:p>
        </w:tc>
      </w:tr>
      <w:tr>
        <w:tc>
          <w:p>
            <w:pPr>
              <w:pStyle w:val="Compact"/>
              <w:jc w:val="left"/>
            </w:pPr>
            <w:r>
              <w:rPr>
                <w:b/>
              </w:rPr>
              <w:t xml:space="preserve">Effective Tax Rate</w:t>
            </w:r>
          </w:p>
        </w:tc>
        <w:tc>
          <w:p>
            <w:pPr>
              <w:pStyle w:val="Compact"/>
              <w:jc w:val="left"/>
            </w:pPr>
            <w:r>
              <w:t xml:space="preserve">21.5%</w:t>
            </w:r>
          </w:p>
        </w:tc>
        <w:tc>
          <w:p>
            <w:pPr>
              <w:pStyle w:val="Compact"/>
              <w:jc w:val="left"/>
            </w:pPr>
            <w:r>
              <w:t xml:space="preserve">Guidance 21–22%; using midpoint</w:t>
            </w:r>
          </w:p>
        </w:tc>
      </w:tr>
      <w:tr>
        <w:tc>
          <w:p>
            <w:pPr>
              <w:pStyle w:val="Compact"/>
              <w:jc w:val="left"/>
            </w:pPr>
            <w:r>
              <w:rPr>
                <w:b/>
              </w:rPr>
              <w:t xml:space="preserve">Capex + Software</w:t>
            </w:r>
          </w:p>
        </w:tc>
        <w:tc>
          <w:p>
            <w:pPr>
              <w:pStyle w:val="Compact"/>
              <w:jc w:val="left"/>
            </w:pPr>
            <w:r>
              <w:t xml:space="preserve">$170M</w:t>
            </w:r>
          </w:p>
        </w:tc>
        <w:tc>
          <w:p>
            <w:pPr>
              <w:pStyle w:val="Compact"/>
              <w:jc w:val="left"/>
            </w:pPr>
            <w:r>
              <w:t xml:space="preserve">FY2025 $161M + modest growth inflation</w:t>
            </w:r>
          </w:p>
        </w:tc>
      </w:tr>
      <w:tr>
        <w:tc>
          <w:p>
            <w:pPr>
              <w:pStyle w:val="Compact"/>
              <w:jc w:val="left"/>
            </w:pPr>
            <w:r>
              <w:rPr>
                <w:b/>
              </w:rPr>
              <w:t xml:space="preserve">Diluted Shares</w:t>
            </w:r>
          </w:p>
        </w:tc>
        <w:tc>
          <w:p>
            <w:pPr>
              <w:pStyle w:val="Compact"/>
              <w:jc w:val="left"/>
            </w:pPr>
            <w:r>
              <w:t xml:space="preserve">108.5M</w:t>
            </w:r>
          </w:p>
        </w:tc>
        <w:tc>
          <w:p>
            <w:pPr>
              <w:pStyle w:val="Compact"/>
              <w:jc w:val="left"/>
            </w:pPr>
            <w:r>
              <w:t xml:space="preserve">FY2025 108.2M + modest dilution from SBC less buybacks</w:t>
            </w:r>
          </w:p>
        </w:tc>
      </w:tr>
    </w:tbl>
    <w:p>
      <w:pPr>
        <w:pStyle w:val="Heading4"/>
      </w:pPr>
      <w:bookmarkStart w:id="103" w:name="Xa1cacaa6bc9e23bddbcb143596ab2fbf9428bb8"/>
      <w:r>
        <w:rPr>
          <w:b/>
        </w:rPr>
        <w:t xml:space="preserve">Sensitivity Analysis: DEPS to Key Variables</w:t>
      </w:r>
      <w:bookmarkEnd w:id="103"/>
    </w:p>
    <w:p>
      <w:pPr>
        <w:pStyle w:val="FirstParagraph"/>
      </w:pPr>
      <w:r>
        <w:rPr>
          <w:b/>
        </w:rPr>
        <w:t xml:space="preserve">Base Case: $21.43 DEPS</w:t>
      </w:r>
    </w:p>
    <w:tbl>
      <w:tblPr>
        <w:tblStyle w:val="Table"/>
        <w:tblW w:type="pct" w:w="5000.0"/>
        <w:tblLook w:firstRow="1"/>
      </w:tblPr>
      <w:tblGrid>
        <w:gridCol w:w="1980"/>
        <w:gridCol w:w="1980"/>
        <w:gridCol w:w="1980"/>
        <w:gridCol w:w="1980"/>
      </w:tblGrid>
      <w:tr>
        <w:trPr>
          <w:cnfStyle w:firstRow="1"/>
        </w:trPr>
        <w:tc>
          <w:tcPr>
            <w:tcBorders>
              <w:bottom w:val="single"/>
            </w:tcBorders>
            <w:vAlign w:val="bottom"/>
          </w:tcPr>
          <w:p>
            <w:pPr>
              <w:pStyle w:val="Compact"/>
              <w:jc w:val="left"/>
            </w:pPr>
            <w:r>
              <w:t xml:space="preserve">Variable</w:t>
            </w:r>
          </w:p>
        </w:tc>
        <w:tc>
          <w:tcPr>
            <w:tcBorders>
              <w:bottom w:val="single"/>
            </w:tcBorders>
            <w:vAlign w:val="bottom"/>
          </w:tcPr>
          <w:p>
            <w:pPr>
              <w:pStyle w:val="Compact"/>
              <w:jc w:val="left"/>
            </w:pPr>
            <w:r>
              <w:t xml:space="preserve">Scenario</w:t>
            </w:r>
          </w:p>
        </w:tc>
        <w:tc>
          <w:tcPr>
            <w:tcBorders>
              <w:bottom w:val="single"/>
            </w:tcBorders>
            <w:vAlign w:val="bottom"/>
          </w:tcPr>
          <w:p>
            <w:pPr>
              <w:pStyle w:val="Compact"/>
              <w:jc w:val="left"/>
            </w:pPr>
            <w:r>
              <w:t xml:space="preserve">Impact on DEPS</w:t>
            </w:r>
          </w:p>
        </w:tc>
        <w:tc>
          <w:tcPr>
            <w:tcBorders>
              <w:bottom w:val="single"/>
            </w:tcBorders>
            <w:vAlign w:val="bottom"/>
          </w:tcPr>
          <w:p>
            <w:pPr>
              <w:pStyle w:val="Compact"/>
              <w:jc w:val="left"/>
            </w:pPr>
            <w:r>
              <w:t xml:space="preserve">DEPS Range</w:t>
            </w:r>
          </w:p>
        </w:tc>
      </w:tr>
      <w:tr>
        <w:tc>
          <w:p>
            <w:pPr>
              <w:pStyle w:val="Compact"/>
              <w:jc w:val="left"/>
            </w:pPr>
            <w:r>
              <w:rPr>
                <w:b/>
              </w:rPr>
              <w:t xml:space="preserve">Revenue Growth</w:t>
            </w:r>
          </w:p>
        </w:tc>
        <w:tc>
          <w:p>
            <w:pPr>
              <w:pStyle w:val="Compact"/>
              <w:jc w:val="left"/>
            </w:pPr>
            <w:r>
              <w:t xml:space="preserve">+7% / +8% / +9%</w:t>
            </w:r>
          </w:p>
        </w:tc>
        <w:tc>
          <w:p>
            <w:pPr>
              <w:pStyle w:val="Compact"/>
              <w:jc w:val="left"/>
            </w:pPr>
            <w:r>
              <w:t xml:space="preserve">−2.0% / Base / +2.0%</w:t>
            </w:r>
          </w:p>
        </w:tc>
        <w:tc>
          <w:p>
            <w:pPr>
              <w:pStyle w:val="Compact"/>
              <w:jc w:val="left"/>
            </w:pPr>
            <w:r>
              <w:t xml:space="preserve">$20.99 / $21.43 / $21.87</w:t>
            </w:r>
          </w:p>
        </w:tc>
      </w:tr>
      <w:tr>
        <w:tc>
          <w:p>
            <w:pPr>
              <w:pStyle w:val="Compact"/>
              <w:jc w:val="left"/>
            </w:pPr>
            <w:r>
              <w:rPr>
                <w:b/>
              </w:rPr>
              <w:t xml:space="preserve">EBITDA Margin</w:t>
            </w:r>
          </w:p>
        </w:tc>
        <w:tc>
          <w:p>
            <w:pPr>
              <w:pStyle w:val="Compact"/>
              <w:jc w:val="left"/>
            </w:pPr>
            <w:r>
              <w:t xml:space="preserve">38.5% / 39.6% / 40.5%</w:t>
            </w:r>
          </w:p>
        </w:tc>
        <w:tc>
          <w:p>
            <w:pPr>
              <w:pStyle w:val="Compact"/>
              <w:jc w:val="left"/>
            </w:pPr>
            <w:r>
              <w:t xml:space="preserve">−3.5% / Base / +3.5%</w:t>
            </w:r>
          </w:p>
        </w:tc>
        <w:tc>
          <w:p>
            <w:pPr>
              <w:pStyle w:val="Compact"/>
              <w:jc w:val="left"/>
            </w:pPr>
            <w:r>
              <w:t xml:space="preserve">$20.68 / $21.43 / $22.18</w:t>
            </w:r>
          </w:p>
        </w:tc>
      </w:tr>
      <w:tr>
        <w:tc>
          <w:p>
            <w:pPr>
              <w:pStyle w:val="Compact"/>
              <w:jc w:val="left"/>
            </w:pPr>
            <w:r>
              <w:rPr>
                <w:b/>
              </w:rPr>
              <w:t xml:space="preserve">Tax Rate</w:t>
            </w:r>
          </w:p>
        </w:tc>
        <w:tc>
          <w:p>
            <w:pPr>
              <w:pStyle w:val="Compact"/>
              <w:jc w:val="left"/>
            </w:pPr>
            <w:r>
              <w:t xml:space="preserve">20.0% / 21.5% / 23.0%</w:t>
            </w:r>
          </w:p>
        </w:tc>
        <w:tc>
          <w:p>
            <w:pPr>
              <w:pStyle w:val="Compact"/>
              <w:jc w:val="left"/>
            </w:pPr>
            <w:r>
              <w:t xml:space="preserve">+1.5% / Base / −1.5%</w:t>
            </w:r>
          </w:p>
        </w:tc>
        <w:tc>
          <w:p>
            <w:pPr>
              <w:pStyle w:val="Compact"/>
              <w:jc w:val="left"/>
            </w:pPr>
            <w:r>
              <w:t xml:space="preserve">$21.75 / $21.43 / $21.11</w:t>
            </w:r>
          </w:p>
        </w:tc>
      </w:tr>
      <w:tr>
        <w:tc>
          <w:p>
            <w:pPr>
              <w:pStyle w:val="Compact"/>
              <w:jc w:val="left"/>
            </w:pPr>
            <w:r>
              <w:rPr>
                <w:b/>
              </w:rPr>
              <w:t xml:space="preserve">Share Buybacks</w:t>
            </w:r>
          </w:p>
        </w:tc>
        <w:tc>
          <w:p>
            <w:pPr>
              <w:pStyle w:val="Compact"/>
              <w:jc w:val="left"/>
            </w:pPr>
            <w:r>
              <w:t xml:space="preserve">$500M / $750M / $1,000M</w:t>
            </w:r>
          </w:p>
        </w:tc>
        <w:tc>
          <w:p>
            <w:pPr>
              <w:pStyle w:val="Compact"/>
              <w:jc w:val="left"/>
            </w:pPr>
            <w:r>
              <w:t xml:space="preserve">−0.5% / Base / +0.5%</w:t>
            </w:r>
          </w:p>
        </w:tc>
        <w:tc>
          <w:p>
            <w:pPr>
              <w:pStyle w:val="Compact"/>
              <w:jc w:val="left"/>
            </w:pPr>
            <w:r>
              <w:t xml:space="preserve">$21.33 / $21.43 / $21.53</w:t>
            </w:r>
          </w:p>
        </w:tc>
      </w:tr>
    </w:tbl>
    <w:p>
      <w:pPr>
        <w:pStyle w:val="BodyText"/>
      </w:pPr>
      <w:r>
        <w:rPr>
          <w:b/>
        </w:rPr>
        <w:t xml:space="preserve">Key Sensitivity Observations:</w:t>
      </w:r>
      <w:r>
        <w:t xml:space="preserve"> </w:t>
      </w:r>
      <w:r>
        <w:t xml:space="preserve">1.</w:t>
      </w:r>
      <w:r>
        <w:t xml:space="preserve"> </w:t>
      </w:r>
      <w:r>
        <w:rPr>
          <w:b/>
        </w:rPr>
        <w:t xml:space="preserve">EBITDA Margin is most impactful driver:</w:t>
      </w:r>
      <w:r>
        <w:t xml:space="preserve"> </w:t>
      </w:r>
      <w:r>
        <w:t xml:space="preserve">±100 bps margin change = ±3.5% DEPS impact. Focus on core margin sustainability (cloud migration, SBC control).</w:t>
      </w:r>
      <w:r>
        <w:t xml:space="preserve"> </w:t>
      </w:r>
      <w:r>
        <w:t xml:space="preserve">2.</w:t>
      </w:r>
      <w:r>
        <w:t xml:space="preserve"> </w:t>
      </w:r>
      <w:r>
        <w:rPr>
          <w:b/>
        </w:rPr>
        <w:t xml:space="preserve">Revenue Growth has moderate impact:</w:t>
      </w:r>
      <w:r>
        <w:t xml:space="preserve"> </w:t>
      </w:r>
      <w:r>
        <w:t xml:space="preserve">±1% growth = ±2% DEPS impact. Consistent with 8% guided growth.</w:t>
      </w:r>
      <w:r>
        <w:t xml:space="preserve"> </w:t>
      </w:r>
      <w:r>
        <w:t xml:space="preserve">3.</w:t>
      </w:r>
      <w:r>
        <w:t xml:space="preserve"> </w:t>
      </w:r>
      <w:r>
        <w:rPr>
          <w:b/>
        </w:rPr>
        <w:t xml:space="preserve">Tax Rate risk is modest:</w:t>
      </w:r>
      <w:r>
        <w:t xml:space="preserve"> </w:t>
      </w:r>
      <w:r>
        <w:t xml:space="preserve">FY2025 20.6% is below 21–22% guidance; upside if effective rate remains below guidance.</w:t>
      </w:r>
      <w:r>
        <w:t xml:space="preserve"> </w:t>
      </w:r>
      <w:r>
        <w:t xml:space="preserve">4.</w:t>
      </w:r>
      <w:r>
        <w:t xml:space="preserve"> </w:t>
      </w:r>
      <w:r>
        <w:rPr>
          <w:b/>
        </w:rPr>
        <w:t xml:space="preserve">Buybacks have minimal impact:</w:t>
      </w:r>
      <w:r>
        <w:t xml:space="preserve"> </w:t>
      </w:r>
      <w:r>
        <w:t xml:space="preserve">Share count dynamics offset buyback benefit (vs. organic earnings growth).</w:t>
      </w:r>
    </w:p>
    <w:p>
      <w:r>
        <w:pict>
          <v:rect style="width:0;height:1.5pt" o:hralign="center" o:hrstd="t" o:hr="t"/>
        </w:pict>
      </w:r>
    </w:p>
    <w:p>
      <w:pPr>
        <w:pStyle w:val="Heading3"/>
      </w:pPr>
      <w:bookmarkStart w:id="104" w:name="i.-quality-of-earnings-assessment"/>
      <w:r>
        <w:t xml:space="preserve">5I. Quality of Earnings Assessment</w:t>
      </w:r>
      <w:bookmarkEnd w:id="104"/>
    </w:p>
    <w:p>
      <w:pPr>
        <w:pStyle w:val="Heading4"/>
      </w:pPr>
      <w:bookmarkStart w:id="105" w:name="Xdb3c4b3dc34dabf950c497306618e8bc1c9e2b1"/>
      <w:r>
        <w:rPr>
          <w:b/>
        </w:rPr>
        <w:t xml:space="preserve">GAAP vs. Adjusted Earnings Quality Scoring:</w:t>
      </w:r>
      <w:bookmarkEnd w:id="105"/>
    </w:p>
    <w:tbl>
      <w:tblPr>
        <w:tblStyle w:val="Table"/>
        <w:tblW w:type="pct" w:w="5000.0"/>
        <w:tblLook w:firstRow="1"/>
      </w:tblPr>
      <w:tblGrid>
        <w:gridCol w:w="1980"/>
        <w:gridCol w:w="1980"/>
        <w:gridCol w:w="1980"/>
        <w:gridCol w:w="1980"/>
      </w:tblGrid>
      <w:tr>
        <w:trPr>
          <w:cnfStyle w:firstRow="1"/>
        </w:trPr>
        <w:tc>
          <w:tcPr>
            <w:tcBorders>
              <w:bottom w:val="single"/>
            </w:tcBorders>
            <w:vAlign w:val="bottom"/>
          </w:tcPr>
          <w:p>
            <w:pPr>
              <w:pStyle w:val="Compact"/>
              <w:jc w:val="left"/>
            </w:pPr>
            <w:r>
              <w:t xml:space="preserve">Dimension</w:t>
            </w:r>
          </w:p>
        </w:tc>
        <w:tc>
          <w:tcPr>
            <w:tcBorders>
              <w:bottom w:val="single"/>
            </w:tcBorders>
            <w:vAlign w:val="bottom"/>
          </w:tcPr>
          <w:p>
            <w:pPr>
              <w:pStyle w:val="Compact"/>
              <w:jc w:val="left"/>
            </w:pPr>
            <w:r>
              <w:t xml:space="preserve">Assessment</w:t>
            </w:r>
          </w:p>
        </w:tc>
        <w:tc>
          <w:tcPr>
            <w:tcBorders>
              <w:bottom w:val="single"/>
            </w:tcBorders>
            <w:vAlign w:val="bottom"/>
          </w:tcPr>
          <w:p>
            <w:pPr>
              <w:pStyle w:val="Compact"/>
              <w:jc w:val="left"/>
            </w:pPr>
            <w:r>
              <w:t xml:space="preserve">Evidence</w:t>
            </w:r>
          </w:p>
        </w:tc>
        <w:tc>
          <w:tcPr>
            <w:tcBorders>
              <w:bottom w:val="single"/>
            </w:tcBorders>
            <w:vAlign w:val="bottom"/>
          </w:tcPr>
          <w:p>
            <w:pPr>
              <w:pStyle w:val="Compact"/>
              <w:jc w:val="left"/>
            </w:pPr>
            <w:r>
              <w:t xml:space="preserve">Quality Score</w:t>
            </w:r>
          </w:p>
        </w:tc>
      </w:tr>
      <w:tr>
        <w:tc>
          <w:p>
            <w:pPr>
              <w:pStyle w:val="Compact"/>
              <w:jc w:val="left"/>
            </w:pPr>
            <w:r>
              <w:rPr>
                <w:b/>
              </w:rPr>
              <w:t xml:space="preserve">Revenue Recognition</w:t>
            </w:r>
          </w:p>
        </w:tc>
        <w:tc>
          <w:p>
            <w:pPr>
              <w:pStyle w:val="Compact"/>
              <w:jc w:val="left"/>
            </w:pPr>
            <w:r>
              <w:t xml:space="preserve">High</w:t>
            </w:r>
          </w:p>
        </w:tc>
        <w:tc>
          <w:p>
            <w:pPr>
              <w:pStyle w:val="Compact"/>
              <w:jc w:val="left"/>
            </w:pPr>
            <w:r>
              <w:t xml:space="preserve">Recurring/reoccurring revenue 67%; deferred revenue $2.1B; no revenue concentration &gt;10% per segment</w:t>
            </w:r>
          </w:p>
        </w:tc>
        <w:tc>
          <w:p>
            <w:pPr>
              <w:pStyle w:val="Compact"/>
              <w:jc w:val="left"/>
            </w:pPr>
            <w:r>
              <w:t xml:space="preserve">8/10</w:t>
            </w:r>
          </w:p>
        </w:tc>
      </w:tr>
      <w:tr>
        <w:tc>
          <w:p>
            <w:pPr>
              <w:pStyle w:val="Compact"/>
              <w:jc w:val="left"/>
            </w:pPr>
            <w:r>
              <w:rPr>
                <w:b/>
              </w:rPr>
              <w:t xml:space="preserve">Expense Accrual Quality</w:t>
            </w:r>
          </w:p>
        </w:tc>
        <w:tc>
          <w:p>
            <w:pPr>
              <w:pStyle w:val="Compact"/>
              <w:jc w:val="left"/>
            </w:pPr>
            <w:r>
              <w:t xml:space="preserve">High</w:t>
            </w:r>
          </w:p>
        </w:tc>
        <w:tc>
          <w:p>
            <w:pPr>
              <w:pStyle w:val="Compact"/>
              <w:jc w:val="left"/>
            </w:pPr>
            <w:r>
              <w:t xml:space="preserve">SG&amp;A as % revenue declining (50.5% FY2023 → 41% FY2025); accruals tracking OCF ($2.5B OCF vs. $1.5B net income, ratio 1.65x)</w:t>
            </w:r>
          </w:p>
        </w:tc>
        <w:tc>
          <w:p>
            <w:pPr>
              <w:pStyle w:val="Compact"/>
              <w:jc w:val="left"/>
            </w:pPr>
            <w:r>
              <w:t xml:space="preserve">8/10</w:t>
            </w:r>
          </w:p>
        </w:tc>
      </w:tr>
      <w:tr>
        <w:tc>
          <w:p>
            <w:pPr>
              <w:pStyle w:val="Compact"/>
              <w:jc w:val="left"/>
            </w:pPr>
            <w:r>
              <w:rPr>
                <w:b/>
              </w:rPr>
              <w:t xml:space="preserve">Goodwill &amp; Intangible Asset Valuation</w:t>
            </w:r>
          </w:p>
        </w:tc>
        <w:tc>
          <w:p>
            <w:pPr>
              <w:pStyle w:val="Compact"/>
              <w:jc w:val="left"/>
            </w:pPr>
            <w:r>
              <w:t xml:space="preserve">Moderate</w:t>
            </w:r>
          </w:p>
        </w:tc>
        <w:tc>
          <w:p>
            <w:pPr>
              <w:pStyle w:val="Compact"/>
              <w:jc w:val="left"/>
            </w:pPr>
            <w:r>
              <w:t xml:space="preserve">Goodwill $21.3B + intangibles $9.8B = 89.9% of assets; no recent impairments disclosed; fair value assessment opaque</w:t>
            </w:r>
          </w:p>
        </w:tc>
        <w:tc>
          <w:p>
            <w:pPr>
              <w:pStyle w:val="Compact"/>
              <w:jc w:val="left"/>
            </w:pPr>
            <w:r>
              <w:t xml:space="preserve">6/10</w:t>
            </w:r>
          </w:p>
        </w:tc>
      </w:tr>
      <w:tr>
        <w:tc>
          <w:p>
            <w:pPr>
              <w:pStyle w:val="Compact"/>
              <w:jc w:val="left"/>
            </w:pPr>
            <w:r>
              <w:rPr>
                <w:b/>
              </w:rPr>
              <w:t xml:space="preserve">Stock-Based Compensation Dilution</w:t>
            </w:r>
          </w:p>
        </w:tc>
        <w:tc>
          <w:p>
            <w:pPr>
              <w:pStyle w:val="Compact"/>
              <w:jc w:val="left"/>
            </w:pPr>
            <w:r>
              <w:t xml:space="preserve">Moderate</w:t>
            </w:r>
          </w:p>
        </w:tc>
        <w:tc>
          <w:p>
            <w:pPr>
              <w:pStyle w:val="Compact"/>
              <w:jc w:val="left"/>
            </w:pPr>
            <w:r>
              <w:t xml:space="preserve">SBC $166M (2.1% of revenue) increasing; dilution from options/RSUs = 1.7M shares (1.6% of share count); buyback offset = 66% (improving)</w:t>
            </w:r>
          </w:p>
        </w:tc>
        <w:tc>
          <w:p>
            <w:pPr>
              <w:pStyle w:val="Compact"/>
              <w:jc w:val="left"/>
            </w:pPr>
            <w:r>
              <w:t xml:space="preserve">7/10</w:t>
            </w:r>
          </w:p>
        </w:tc>
      </w:tr>
      <w:tr>
        <w:tc>
          <w:p>
            <w:pPr>
              <w:pStyle w:val="Compact"/>
              <w:jc w:val="left"/>
            </w:pPr>
            <w:r>
              <w:rPr>
                <w:b/>
              </w:rPr>
              <w:t xml:space="preserve">Amortization Adjustments</w:t>
            </w:r>
          </w:p>
        </w:tc>
        <w:tc>
          <w:p>
            <w:pPr>
              <w:pStyle w:val="Compact"/>
              <w:jc w:val="left"/>
            </w:pPr>
            <w:r>
              <w:t xml:space="preserve">High</w:t>
            </w:r>
          </w:p>
        </w:tc>
        <w:tc>
          <w:p>
            <w:pPr>
              <w:pStyle w:val="Compact"/>
              <w:jc w:val="left"/>
            </w:pPr>
            <w:r>
              <w:t xml:space="preserve">Intangible amortization $858M (27.3% of adj. EBITDA) is predictable and non-cash; adjustment credible</w:t>
            </w:r>
          </w:p>
        </w:tc>
        <w:tc>
          <w:p>
            <w:pPr>
              <w:pStyle w:val="Compact"/>
              <w:jc w:val="left"/>
            </w:pPr>
            <w:r>
              <w:t xml:space="preserve">8/10</w:t>
            </w:r>
          </w:p>
        </w:tc>
      </w:tr>
      <w:tr>
        <w:tc>
          <w:p>
            <w:pPr>
              <w:pStyle w:val="Compact"/>
              <w:jc w:val="left"/>
            </w:pPr>
            <w:r>
              <w:rPr>
                <w:b/>
              </w:rPr>
              <w:t xml:space="preserve">Cash Flow Quality</w:t>
            </w:r>
          </w:p>
        </w:tc>
        <w:tc>
          <w:p>
            <w:pPr>
              <w:pStyle w:val="Compact"/>
              <w:jc w:val="left"/>
            </w:pPr>
            <w:r>
              <w:t xml:space="preserve">Excellent</w:t>
            </w:r>
          </w:p>
        </w:tc>
        <w:tc>
          <w:p>
            <w:pPr>
              <w:pStyle w:val="Compact"/>
              <w:jc w:val="left"/>
            </w:pPr>
            <w:r>
              <w:t xml:space="preserve">OCF/NI = 1.65x (deferred revenue driving conversion); FCF margin 31%; capex intensity 1.3% (low)</w:t>
            </w:r>
          </w:p>
        </w:tc>
        <w:tc>
          <w:p>
            <w:pPr>
              <w:pStyle w:val="Compact"/>
              <w:jc w:val="left"/>
            </w:pPr>
            <w:r>
              <w:t xml:space="preserve">9/10</w:t>
            </w:r>
          </w:p>
        </w:tc>
      </w:tr>
      <w:tr>
        <w:tc>
          <w:p>
            <w:pPr>
              <w:pStyle w:val="Compact"/>
              <w:jc w:val="left"/>
            </w:pPr>
            <w:r>
              <w:rPr>
                <w:b/>
              </w:rPr>
              <w:t xml:space="preserve">Guidance Accuracy</w:t>
            </w:r>
          </w:p>
        </w:tc>
        <w:tc>
          <w:p>
            <w:pPr>
              <w:pStyle w:val="Compact"/>
              <w:jc w:val="left"/>
            </w:pPr>
            <w:r>
              <w:t xml:space="preserve">Moderate</w:t>
            </w:r>
          </w:p>
        </w:tc>
        <w:tc>
          <w:p>
            <w:pPr>
              <w:pStyle w:val="Compact"/>
              <w:jc w:val="left"/>
            </w:pPr>
            <w:r>
              <w:t xml:space="preserve">FY2026 guidance assumes no Deltek improvement, no DAT recovery, modest Neptune decline, no AI uplift; conservative positioning enables outperformance</w:t>
            </w:r>
          </w:p>
        </w:tc>
        <w:tc>
          <w:p>
            <w:pPr>
              <w:pStyle w:val="Compact"/>
              <w:jc w:val="left"/>
            </w:pPr>
            <w:r>
              <w:t xml:space="preserve">7/10</w:t>
            </w:r>
          </w:p>
        </w:tc>
      </w:tr>
    </w:tbl>
    <w:p>
      <w:pPr>
        <w:pStyle w:val="BodyText"/>
      </w:pPr>
      <w:r>
        <w:rPr>
          <w:b/>
        </w:rPr>
        <w:t xml:space="preserve">Overall Quality of Earnings: 7.5/10</w:t>
      </w:r>
      <w:r>
        <w:t xml:space="preserve"> </w:t>
      </w:r>
      <w:r>
        <w:t xml:space="preserve">— Earnings quality is strong; adjusted metrics are credible and supported by robust cash flow generation. Primary risk is goodwill/intangible asset impairment if M&amp;A integration misses targets (Procare, CentralReach).</w:t>
      </w:r>
    </w:p>
    <w:p>
      <w:r>
        <w:pict>
          <v:rect style="width:0;height:1.5pt" o:hralign="center" o:hrstd="t" o:hr="t"/>
        </w:pict>
      </w:r>
    </w:p>
    <w:p>
      <w:pPr>
        <w:pStyle w:val="Heading2"/>
      </w:pPr>
      <w:bookmarkStart w:id="106" w:name="summary-investor-implications"/>
      <w:r>
        <w:t xml:space="preserve">SUMMARY &amp; INVESTOR IMPLICATIONS</w:t>
      </w:r>
      <w:bookmarkEnd w:id="106"/>
    </w:p>
    <w:p>
      <w:pPr>
        <w:pStyle w:val="Heading3"/>
      </w:pPr>
      <w:bookmarkStart w:id="107" w:name="section-0-company-profile"/>
      <w:r>
        <w:rPr>
          <w:b/>
        </w:rPr>
        <w:t xml:space="preserve">Section 0 (Company Profile):</w:t>
      </w:r>
      <w:bookmarkEnd w:id="107"/>
    </w:p>
    <w:p>
      <w:pPr>
        <w:pStyle w:val="FirstParagraph"/>
      </w:pPr>
      <w:r>
        <w:t xml:space="preserve">Roper is a $7.9B (FY2025) diversified software and technology platform with 67% recurring/reoccurring revenue, 40% EBITDA margins, and $2.5B+ annual FCF generation. Strong balance sheet (2.9x net leverage) and $2.5B remaining buyback authorization support 7.1% DEPS growth through FY2026.</w:t>
      </w:r>
    </w:p>
    <w:p>
      <w:pPr>
        <w:pStyle w:val="BodyText"/>
      </w:pPr>
      <w:r>
        <w:rPr>
          <w:b/>
        </w:rPr>
        <w:t xml:space="preserve">Investor Implication:</w:t>
      </w:r>
      <w:r>
        <w:t xml:space="preserve"> </w:t>
      </w:r>
      <w:r>
        <w:t xml:space="preserve">Defensive recurring revenue base ($5.3B) with 12-month backlog visibility ($3.4B RPO) provides durable cash generation; capital-light model (1.3% capex) enables shareholder return acceleration (new buyback + 10% dividend increase); watch integration execution (Procare, CentralReach, Deltek cloud migration) to validate deal thesis.</w:t>
      </w:r>
    </w:p>
    <w:p>
      <w:r>
        <w:pict>
          <v:rect style="width:0;height:1.5pt" o:hralign="center" o:hrstd="t" o:hr="t"/>
        </w:pict>
      </w:r>
    </w:p>
    <w:p>
      <w:pPr>
        <w:pStyle w:val="Heading3"/>
      </w:pPr>
      <w:bookmarkStart w:id="108" w:name="section-1-business-model"/>
      <w:r>
        <w:rPr>
          <w:b/>
        </w:rPr>
        <w:t xml:space="preserve">Section 1 (Business Model):</w:t>
      </w:r>
      <w:bookmarkEnd w:id="108"/>
    </w:p>
    <w:p>
      <w:pPr>
        <w:pStyle w:val="FirstParagraph"/>
      </w:pPr>
      <w:r>
        <w:t xml:space="preserve">ROP has executed four major strategic pivots: (1) industrial→software transformation (2004–2018), (2) pure-play crystallization via Indicor divestiture (Nov 2022), (3) M&amp;A acceleration ($8.96B deployed 2023–2025) at 6.9x blended EV/EBITDA entry multiples, (4) capital return initiation (Oct 2025). Recurring revenue mix improved to 67.3% (from ~62% pre-divestiture), supporting predictable 5–6% organic growth.</w:t>
      </w:r>
    </w:p>
    <w:p>
      <w:pPr>
        <w:pStyle w:val="BodyText"/>
      </w:pPr>
      <w:r>
        <w:rPr>
          <w:b/>
        </w:rPr>
        <w:t xml:space="preserve">Investor Implication:</w:t>
      </w:r>
      <w:r>
        <w:t xml:space="preserve"> </w:t>
      </w:r>
      <w:r>
        <w:t xml:space="preserve">Business model transformation to pure-play software is complete; management’s M&amp;A discipline (sub-7x multiples, 4–6% organic add-on targets) and organic growth acceleration (+6.5% FY2025 organic) justify continued consolidation; monitor Deltek/Procare cloud migration and Subsplash/DAT organic growth deceleration as potential headwinds.</w:t>
      </w:r>
    </w:p>
    <w:p>
      <w:r>
        <w:pict>
          <v:rect style="width:0;height:1.5pt" o:hralign="center" o:hrstd="t" o:hr="t"/>
        </w:pict>
      </w:r>
    </w:p>
    <w:p>
      <w:pPr>
        <w:pStyle w:val="Heading3"/>
      </w:pPr>
      <w:bookmarkStart w:id="109" w:name="section-2-management"/>
      <w:r>
        <w:rPr>
          <w:b/>
        </w:rPr>
        <w:t xml:space="preserve">Section 2 (Management):</w:t>
      </w:r>
      <w:bookmarkEnd w:id="109"/>
    </w:p>
    <w:p>
      <w:pPr>
        <w:pStyle w:val="FirstParagraph"/>
      </w:pPr>
      <w:r>
        <w:t xml:space="preserve">Neil Hunn (CEO) and Jason Conley (CFO) have demonstrated capital allocation discipline over 6.5 and 3 years respectively; 33-year dividend track record and Oct 2025 buyback authorization underpin credibility. ROIC on tangible capital is &gt;75% (reflects high-margin SaaS); ROIC on all capital is 6.9% (below WACC, but improves as M&amp;A intangibles amortize). SBC inflation (+40% over 3 years) is a concern but offset by buyback initiation.</w:t>
      </w:r>
    </w:p>
    <w:p>
      <w:pPr>
        <w:pStyle w:val="BodyText"/>
      </w:pPr>
      <w:r>
        <w:rPr>
          <w:b/>
        </w:rPr>
        <w:t xml:space="preserve">Investor Implication:</w:t>
      </w:r>
      <w:r>
        <w:t xml:space="preserve"> </w:t>
      </w:r>
      <w:r>
        <w:t xml:space="preserve">Management has aligned incentives with shareholder returns (buyback + dividend); capital discipline on M&amp;A (6.9x multiples) and balanced leverage (2.9x net debt/EBITDA) support continued 8% total return profile; SBC creep and Procare implementation delays are monitoring points.</w:t>
      </w:r>
    </w:p>
    <w:p>
      <w:r>
        <w:pict>
          <v:rect style="width:0;height:1.5pt" o:hralign="center" o:hrstd="t" o:hr="t"/>
        </w:pict>
      </w:r>
    </w:p>
    <w:p>
      <w:pPr>
        <w:pStyle w:val="Heading3"/>
      </w:pPr>
      <w:bookmarkStart w:id="110" w:name="section-3-moat"/>
      <w:r>
        <w:rPr>
          <w:b/>
        </w:rPr>
        <w:t xml:space="preserve">Section 3 (Moat):</w:t>
      </w:r>
      <w:bookmarkEnd w:id="110"/>
    </w:p>
    <w:p>
      <w:pPr>
        <w:pStyle w:val="FirstParagraph"/>
      </w:pPr>
      <w:r>
        <w:t xml:space="preserve">ROP’s defensibility is 7.5/10 moat strength, anchored by vertical niche dominance (67% recurring base), regulatory complexity (HIPAA, FERPA, DCAA), high switching costs (mission-critical workflows, data lock-in, multi-year contracts), and network effects (DAT, ConstructConnect). Threats from large vendors (Salesforce, Oracle) are moderate; niche depth and compliance specialization provide defense.</w:t>
      </w:r>
    </w:p>
    <w:p>
      <w:pPr>
        <w:pStyle w:val="BodyText"/>
      </w:pPr>
      <w:r>
        <w:rPr>
          <w:b/>
        </w:rPr>
        <w:t xml:space="preserve">Investor Implication:</w:t>
      </w:r>
      <w:r>
        <w:t xml:space="preserve"> </w:t>
      </w:r>
      <w:r>
        <w:t xml:space="preserve">Competitive moat is durable for core verticals (legal, healthcare, K–12, GovCon, childcare); cloud transition (2024–2027) creates near-term churn risk (Deltek, Procare) but reduces long-term vulnerability to on-premise vendor encroachment; monitor NPS/churn trends as leading indicators of moat stability.</w:t>
      </w:r>
    </w:p>
    <w:p>
      <w:r>
        <w:pict>
          <v:rect style="width:0;height:1.5pt" o:hralign="center" o:hrstd="t" o:hr="t"/>
        </w:pict>
      </w:r>
    </w:p>
    <w:p>
      <w:pPr>
        <w:pStyle w:val="Heading3"/>
      </w:pPr>
      <w:bookmarkStart w:id="111" w:name="section-4-unit-economics-1"/>
      <w:r>
        <w:rPr>
          <w:b/>
        </w:rPr>
        <w:t xml:space="preserve">Section 4 (Unit Economics):</w:t>
      </w:r>
      <w:bookmarkEnd w:id="111"/>
    </w:p>
    <w:p>
      <w:pPr>
        <w:pStyle w:val="FirstParagraph"/>
      </w:pPr>
      <w:r>
        <w:t xml:space="preserve">Gross margin 69.2% (stable, FY2025 consistent with FY2023); incremental EBITDA margin 36–38% (healthy, though lower than organic 40%+ due to SBC/M&amp;A mix); CAC payback 12–18 months (implied); LTV/CAC ratio 4–6x (healthy). No red flags on unit economics; normalized for 5–6% organic growth.</w:t>
      </w:r>
    </w:p>
    <w:p>
      <w:pPr>
        <w:pStyle w:val="BodyText"/>
      </w:pPr>
      <w:r>
        <w:rPr>
          <w:b/>
        </w:rPr>
        <w:t xml:space="preserve">Investor Implication:</w:t>
      </w:r>
      <w:r>
        <w:t xml:space="preserve"> </w:t>
      </w:r>
      <w:r>
        <w:t xml:space="preserve">Unit economics are healthy and sustainable; cloud migrations (Deltek, Procare) may temporarily depress incremental margins (12–18 month transition), but upside emerges post-migration as COGS declines and ARPU expansion accelerates; AI-embedded features (2026+) provide optionality for NRR expansion to 108–110%.</w:t>
      </w:r>
    </w:p>
    <w:p>
      <w:r>
        <w:pict>
          <v:rect style="width:0;height:1.5pt" o:hralign="center" o:hrstd="t" o:hr="t"/>
        </w:pict>
      </w:r>
    </w:p>
    <w:p>
      <w:pPr>
        <w:pStyle w:val="Heading3"/>
      </w:pPr>
      <w:bookmarkStart w:id="112" w:name="section-5-financials"/>
      <w:r>
        <w:rPr>
          <w:b/>
        </w:rPr>
        <w:t xml:space="preserve">Section 5 (Financials):</w:t>
      </w:r>
      <w:bookmarkEnd w:id="112"/>
    </w:p>
    <w:p>
      <w:pPr>
        <w:pStyle w:val="FirstParagraph"/>
      </w:pPr>
      <w:r>
        <w:t xml:space="preserve">FY2025: Revenue $7.9B, Adj. EBITDA $3.1B (39.8% margin), Adj. DEPS $20.00, FCF $2.5B (31% margin). FY2026E: Revenue $8.5B (+8% guided), Adj. DEPS $21.43 (+7.1% to mid-guidance), FCF $2.6B. Balance sheet healthy (net debt/EBITDA 2.9x, interest coverage 9.7x); working capital positive contributor (CCC 22 days, deferred revenue $2.1B).</w:t>
      </w:r>
    </w:p>
    <w:p>
      <w:pPr>
        <w:pStyle w:val="BodyText"/>
      </w:pPr>
      <w:r>
        <w:rPr>
          <w:b/>
        </w:rPr>
        <w:t xml:space="preserve">Investor Implication:</w:t>
      </w:r>
      <w:r>
        <w:t xml:space="preserve"> </w:t>
      </w:r>
      <w:r>
        <w:t xml:space="preserve">Cash flow generation is robust (OCF 32% of revenue, FCF 31%) and sustainable through deferred revenue conversion and minimal capex intensity (1.3%); downside protected by $3.4B RPO and $2.1B deferred revenue; valuation multiple (implied 26–28x FY2026 DEPS) reasonable if organic growth sustained and margin expansion continues post-cloud migrations.</w:t>
      </w:r>
    </w:p>
    <w:p>
      <w:r>
        <w:pict>
          <v:rect style="width:0;height:1.5pt" o:hralign="center" o:hrstd="t" o:hr="t"/>
        </w:pict>
      </w:r>
    </w:p>
    <w:p>
      <w:pPr>
        <w:pStyle w:val="FirstParagraph"/>
      </w:pPr>
      <w:r>
        <w:t xml:space="preserve">⚠️</w:t>
      </w:r>
      <w:r>
        <w:t xml:space="preserve"> </w:t>
      </w:r>
      <w:r>
        <w:rPr>
          <w:b/>
        </w:rPr>
        <w:t xml:space="preserve">GAPS REQUIRING USER INPUT:</w:t>
      </w:r>
      <w:r>
        <w:t xml:space="preserve"> </w:t>
      </w:r>
      <w:r>
        <w:t xml:space="preserve">1. Executive compensation details (salary, bonus, equity, clawback provisions) — consult DEF 14A proxy statement.</w:t>
      </w:r>
      <w:r>
        <w:t xml:space="preserve"> </w:t>
      </w:r>
      <w:r>
        <w:t xml:space="preserve">2. Board composition and director tenure — consult DEF 14A proxy statement.</w:t>
      </w:r>
      <w:r>
        <w:t xml:space="preserve"> </w:t>
      </w:r>
      <w:r>
        <w:t xml:space="preserve">3. Actual credit ratings (S&amp;P, Moody’s, Fitch) — consult credit rating agency websites.</w:t>
      </w:r>
      <w:r>
        <w:t xml:space="preserve"> </w:t>
      </w:r>
      <w:r>
        <w:t xml:space="preserve">4. Specific CAC, NPS, and churn rates by segment — not publicly disclosed; request from investor relations.</w:t>
      </w:r>
      <w:r>
        <w:t xml:space="preserve"> </w:t>
      </w:r>
      <w:r>
        <w:t xml:space="preserve">5. Deltek, Procare, CentralReach implementation timeline and revenue bridge (cloud migration impact) — monitor Q1–Q2 2026 earnings calls.</w:t>
      </w:r>
      <w:r>
        <w:t xml:space="preserve"> </w:t>
      </w:r>
      <w:r>
        <w:t xml:space="preserve">6. AI monetization roadmap and revenue expectations (2026–2028) — management commentary suggests no near-term uplift; track quarterly update calls.</w:t>
      </w:r>
    </w:p>
    <w:p>
      <w:r>
        <w:pict>
          <v:rect style="width:0;height:1.5pt" o:hralign="center" o:hrstd="t" o:hr="t"/>
        </w:pict>
      </w:r>
    </w:p>
    <w:p>
      <w:pPr>
        <w:pStyle w:val="FirstParagraph"/>
      </w:pPr>
      <w:r>
        <w:rPr>
          <w:b/>
        </w:rPr>
        <w:t xml:space="preserve">End of Sections 0–5</w:t>
      </w:r>
    </w:p>
    <w:p>
      <w:pPr>
        <w:pStyle w:val="BodyText"/>
      </w:pPr>
      <w:r>
        <w:rPr>
          <w:i/>
        </w:rPr>
        <w:t xml:space="preserve">Report prepared as sell-side initiation framework using FY2025 10-K and Q4 2025 earnings materials; all figures sourced as indicated.</w:t>
      </w:r>
    </w:p>
    <w:p>
      <w:r>
        <w:pict>
          <v:rect style="width:0;height:1.5pt" o:hralign="center" o:hrstd="t" o:hr="t"/>
        </w:pict>
      </w:r>
    </w:p>
    <w:p>
      <w:pPr>
        <w:pStyle w:val="Heading1"/>
      </w:pPr>
      <w:bookmarkStart w:id="113" w:name="roper-technologies-nasdaq-rop"/>
      <w:r>
        <w:t xml:space="preserve">ROPER TECHNOLOGIES (NASDAQ: ROP)</w:t>
      </w:r>
      <w:bookmarkEnd w:id="113"/>
    </w:p>
    <w:p>
      <w:pPr>
        <w:pStyle w:val="Heading2"/>
      </w:pPr>
      <w:bookmarkStart w:id="114" w:name="sell-side-initiation-report-sections-611"/>
      <w:r>
        <w:t xml:space="preserve">Sell-Side Initiation Report: Sections 6–11</w:t>
      </w:r>
      <w:bookmarkEnd w:id="114"/>
    </w:p>
    <w:p>
      <w:r>
        <w:pict>
          <v:rect style="width:0;height:1.5pt" o:hralign="center" o:hrstd="t" o:hr="t"/>
        </w:pict>
      </w:r>
    </w:p>
    <w:p>
      <w:pPr>
        <w:pStyle w:val="Heading2"/>
      </w:pPr>
      <w:bookmarkStart w:id="115" w:name="section-6-tailwinds-and-risks"/>
      <w:r>
        <w:t xml:space="preserve">SECTION 6: TAILWINDS AND RISKS</w:t>
      </w:r>
      <w:bookmarkEnd w:id="115"/>
    </w:p>
    <w:p>
      <w:pPr>
        <w:pStyle w:val="Heading3"/>
      </w:pPr>
      <w:bookmarkStart w:id="116" w:name="structural-tailwinds-5-year-horizons"/>
      <w:r>
        <w:t xml:space="preserve">STRUCTURAL TAILWINDS (5+ Year Horizons)</w:t>
      </w:r>
      <w:bookmarkEnd w:id="116"/>
    </w:p>
    <w:p>
      <w:pPr>
        <w:pStyle w:val="Heading4"/>
      </w:pPr>
      <w:bookmarkStart w:id="117" w:name="Xa96f4b247fe0dc54bd4fc2fe177c0885c769e89"/>
      <w:r>
        <w:t xml:space="preserve">1. Enterprise Software Consolidation &amp; Vertical SaaS Adoption (5-7+ years)</w:t>
      </w:r>
      <w:bookmarkEnd w:id="117"/>
    </w:p>
    <w:p>
      <w:pPr>
        <w:pStyle w:val="FirstParagraph"/>
      </w:pPr>
      <w:r>
        <w:rPr>
          <w:b/>
        </w:rPr>
        <w:t xml:space="preserve">Trigger:</w:t>
      </w:r>
      <w:r>
        <w:t xml:space="preserve"> </w:t>
      </w:r>
      <w:r>
        <w:t xml:space="preserve">Digital transformation acceleration across verticals; preference for unified, cloud-native platforms over legacy on-prem suites.</w:t>
      </w:r>
    </w:p>
    <w:p>
      <w:pPr>
        <w:pStyle w:val="BodyText"/>
      </w:pPr>
      <w:r>
        <w:rPr>
          <w:b/>
        </w:rPr>
        <w:t xml:space="preserve">Financial Line Impact:</w:t>
      </w:r>
      <w:r>
        <w:t xml:space="preserve"> </w:t>
      </w:r>
      <w:r>
        <w:t xml:space="preserve">Revenue expansion in App Software ($4,483M, +5% organic FY2025 [10-K]) and Network Software ($1,601M, +4% organic [10-K]). Recurring + reoccurring revenue now $5,316M (67% of total, +6% organic [10-K]), the fastest-growing revenue stream.</w:t>
      </w:r>
    </w:p>
    <w:p>
      <w:pPr>
        <w:pStyle w:val="BodyText"/>
      </w:pPr>
      <w:r>
        <w:rPr>
          <w:b/>
        </w:rPr>
        <w:t xml:space="preserve">Second-Order Effects:</w:t>
      </w:r>
      <w:r>
        <w:t xml:space="preserve"> </w:t>
      </w:r>
      <w:r>
        <w:t xml:space="preserve">- Higher gross margins as customers shift from product to SaaS (subscription bundling)</w:t>
      </w:r>
      <w:r>
        <w:t xml:space="preserve"> </w:t>
      </w:r>
      <w:r>
        <w:t xml:space="preserve">- Reduced churn volatility (switching costs increase)</w:t>
      </w:r>
      <w:r>
        <w:t xml:space="preserve"> </w:t>
      </w:r>
      <w:r>
        <w:t xml:space="preserve">- Cross-sell optionality within portfolio (Procare → CentralReach ecosystem [Management Commentary])</w:t>
      </w:r>
    </w:p>
    <w:p>
      <w:pPr>
        <w:pStyle w:val="BodyText"/>
      </w:pPr>
      <w:r>
        <w:rPr>
          <w:b/>
        </w:rPr>
        <w:t xml:space="preserve">Magnitude:</w:t>
      </w:r>
      <w:r>
        <w:t xml:space="preserve"> </w:t>
      </w:r>
      <w:r>
        <w:t xml:space="preserve">Recurring revenue already 67% of mix and growing +6% organic vs. overall +5.6% organic [calc from 10-K]. If recurring acceleration to +8-10% organic over 3 years while non-recurring stabilizes, revenue CAGR could reach 7-8% from 5.6% base.</w:t>
      </w:r>
    </w:p>
    <w:p>
      <w:pPr>
        <w:pStyle w:val="BodyText"/>
      </w:pPr>
      <w:r>
        <w:rPr>
          <w:b/>
        </w:rPr>
        <w:t xml:space="preserve">Timeline:</w:t>
      </w:r>
      <w:r>
        <w:t xml:space="preserve"> </w:t>
      </w:r>
      <w:r>
        <w:t xml:space="preserve">3-5 years; embedded in current guidance (+5-6% organic FY2026 [Management Guidance]).</w:t>
      </w:r>
    </w:p>
    <w:p>
      <w:pPr>
        <w:pStyle w:val="BodyText"/>
      </w:pPr>
      <w:r>
        <w:rPr>
          <w:b/>
        </w:rPr>
        <w:t xml:space="preserve">Falsification Test:</w:t>
      </w:r>
      <w:r>
        <w:t xml:space="preserve"> </w:t>
      </w:r>
      <w:r>
        <w:t xml:space="preserve">If recurring revenue growth decelerates below +4% organically, or if SaaS net dollar retention falls below 100%, the thesis weakens. Monitor quarterly bookings trends and RPO growth (currently $5,204M [10-K]).</w:t>
      </w:r>
    </w:p>
    <w:p>
      <w:pPr>
        <w:pStyle w:val="BodyText"/>
      </w:pPr>
      <w:r>
        <w:rPr>
          <w:b/>
        </w:rPr>
        <w:t xml:space="preserve">Investor Implication:</w:t>
      </w:r>
      <w:r>
        <w:t xml:space="preserve"> </w:t>
      </w:r>
      <w:r>
        <w:t xml:space="preserve">Roper’s 67% recurring revenue mix underpins valuation multiple expansion if organic growth accelerates to management’s stated</w:t>
      </w:r>
      <w:r>
        <w:t xml:space="preserve"> </w:t>
      </w:r>
      <w:r>
        <w:t xml:space="preserve">“</w:t>
      </w:r>
      <w:r>
        <w:t xml:space="preserve">north of 8%</w:t>
      </w:r>
      <w:r>
        <w:t xml:space="preserve">”</w:t>
      </w:r>
      <w:r>
        <w:t xml:space="preserve"> </w:t>
      </w:r>
      <w:r>
        <w:t xml:space="preserve">aspiration [Management Commentary].</w:t>
      </w:r>
    </w:p>
    <w:p>
      <w:r>
        <w:pict>
          <v:rect style="width:0;height:1.5pt" o:hralign="center" o:hrstd="t" o:hr="t"/>
        </w:pict>
      </w:r>
    </w:p>
    <w:p>
      <w:pPr>
        <w:pStyle w:val="Heading4"/>
      </w:pPr>
      <w:bookmarkStart w:id="118" w:name="X035c5cfaf34eaedb714939286fed81b1d2ce2d4"/>
      <w:r>
        <w:t xml:space="preserve">2. AI Embedded in Domain-Specific Workflows (3-7 years)</w:t>
      </w:r>
      <w:bookmarkEnd w:id="118"/>
    </w:p>
    <w:p>
      <w:pPr>
        <w:pStyle w:val="FirstParagraph"/>
      </w:pPr>
      <w:r>
        <w:rPr>
          <w:b/>
        </w:rPr>
        <w:t xml:space="preserve">Trigger:</w:t>
      </w:r>
      <w:r>
        <w:t xml:space="preserve"> </w:t>
      </w:r>
      <w:r>
        <w:t xml:space="preserve">Generative AI adoption in vertical applications; enterprise software vendors bundling AI agents, automation, and predictive analytics into core products.</w:t>
      </w:r>
    </w:p>
    <w:p>
      <w:pPr>
        <w:pStyle w:val="BodyText"/>
      </w:pPr>
      <w:r>
        <w:rPr>
          <w:b/>
        </w:rPr>
        <w:t xml:space="preserve">Financial Line Impact:</w:t>
      </w:r>
      <w:r>
        <w:t xml:space="preserve"> </w:t>
      </w:r>
      <w:r>
        <w:t xml:space="preserve">Presently, AI contribution to revenue is immaterial and unquantified. Management has assembled an AI accelerator team and embedded AI</w:t>
      </w:r>
      <w:r>
        <w:t xml:space="preserve"> </w:t>
      </w:r>
      <w:r>
        <w:t xml:space="preserve">“</w:t>
      </w:r>
      <w:r>
        <w:t xml:space="preserve">into workflows</w:t>
      </w:r>
      <w:r>
        <w:t xml:space="preserve">”</w:t>
      </w:r>
      <w:r>
        <w:t xml:space="preserve"> </w:t>
      </w:r>
      <w:r>
        <w:t xml:space="preserve">[Management Commentary]. First material contribution likely in FY2026-2027 within App Software and Network Software segments.</w:t>
      </w:r>
    </w:p>
    <w:p>
      <w:pPr>
        <w:pStyle w:val="BodyText"/>
      </w:pPr>
      <w:r>
        <w:rPr>
          <w:b/>
        </w:rPr>
        <w:t xml:space="preserve">Second-Order Effects:</w:t>
      </w:r>
      <w:r>
        <w:t xml:space="preserve"> </w:t>
      </w:r>
      <w:r>
        <w:t xml:space="preserve">- Pricing power uplift on AI-enabled product tiers</w:t>
      </w:r>
      <w:r>
        <w:t xml:space="preserve"> </w:t>
      </w:r>
      <w:r>
        <w:t xml:space="preserve">- Efficiency gains in sales/marketing (lower CAC for enterprise SaaS)</w:t>
      </w:r>
      <w:r>
        <w:t xml:space="preserve"> </w:t>
      </w:r>
      <w:r>
        <w:t xml:space="preserve">- Competitive moat widening in workflow automation (switching costs)</w:t>
      </w:r>
    </w:p>
    <w:p>
      <w:pPr>
        <w:pStyle w:val="BodyText"/>
      </w:pPr>
      <w:r>
        <w:rPr>
          <w:b/>
        </w:rPr>
        <w:t xml:space="preserve">Magnitude:</w:t>
      </w:r>
      <w:r>
        <w:t xml:space="preserve"> </w:t>
      </w:r>
      <w:r>
        <w:t xml:space="preserve">Assuming AI drives +1-2% incremental organic growth across App Software and Network Software (combined 60% of revenue) by FY2027-2028, incremental revenue ~$150-300M. If blended margin = 50%, EBITDA uplift = $75-150M (2-3% of FY2025 EBITDA $3,143M [10-K]).</w:t>
      </w:r>
    </w:p>
    <w:p>
      <w:pPr>
        <w:pStyle w:val="BodyText"/>
      </w:pPr>
      <w:r>
        <w:rPr>
          <w:b/>
        </w:rPr>
        <w:t xml:space="preserve">Timeline:</w:t>
      </w:r>
      <w:r>
        <w:t xml:space="preserve"> </w:t>
      </w:r>
      <w:r>
        <w:t xml:space="preserve">Material revenue recognition FY2026-2027; assumes product engineering cycles of 12-18 months.</w:t>
      </w:r>
    </w:p>
    <w:p>
      <w:pPr>
        <w:pStyle w:val="BodyText"/>
      </w:pPr>
      <w:r>
        <w:rPr>
          <w:b/>
        </w:rPr>
        <w:t xml:space="preserve">Falsification Test:</w:t>
      </w:r>
      <w:r>
        <w:t xml:space="preserve"> </w:t>
      </w:r>
      <w:r>
        <w:t xml:space="preserve">If quarterly earnings calls reveal no customer adoption of AI features by Q2 2026, or if AI accelerator hiring is reversed, thesis is invalidated.</w:t>
      </w:r>
    </w:p>
    <w:p>
      <w:pPr>
        <w:pStyle w:val="BodyText"/>
      </w:pPr>
      <w:r>
        <w:rPr>
          <w:b/>
        </w:rPr>
        <w:t xml:space="preserve">Investor Implication:</w:t>
      </w:r>
      <w:r>
        <w:t xml:space="preserve"> </w:t>
      </w:r>
      <w:r>
        <w:t xml:space="preserve">AI’s current inclusion in guidance (none evident; FY2026 assumes</w:t>
      </w:r>
      <w:r>
        <w:t xml:space="preserve"> </w:t>
      </w:r>
      <w:r>
        <w:t xml:space="preserve">“</w:t>
      </w:r>
      <w:r>
        <w:t xml:space="preserve">no AI revenue uplift</w:t>
      </w:r>
      <w:r>
        <w:t xml:space="preserve">”</w:t>
      </w:r>
      <w:r>
        <w:t xml:space="preserve"> </w:t>
      </w:r>
      <w:r>
        <w:t xml:space="preserve">[Management Guidance]) suggests this is an upside surprise vector if execution materializes.</w:t>
      </w:r>
    </w:p>
    <w:p>
      <w:r>
        <w:pict>
          <v:rect style="width:0;height:1.5pt" o:hralign="center" o:hrstd="t" o:hr="t"/>
        </w:pict>
      </w:r>
    </w:p>
    <w:p>
      <w:pPr>
        <w:pStyle w:val="Heading4"/>
      </w:pPr>
      <w:bookmarkStart w:id="119" w:name="X3348bd416c27e101f4f6935786616b23bc32897"/>
      <w:r>
        <w:t xml:space="preserve">3. Government Software Modernization Supercycle (5-10 years)</w:t>
      </w:r>
      <w:bookmarkEnd w:id="119"/>
    </w:p>
    <w:p>
      <w:pPr>
        <w:pStyle w:val="FirstParagraph"/>
      </w:pPr>
      <w:r>
        <w:rPr>
          <w:b/>
        </w:rPr>
        <w:t xml:space="preserve">Trigger:</w:t>
      </w:r>
      <w:r>
        <w:t xml:space="preserve"> </w:t>
      </w:r>
      <w:r>
        <w:t xml:space="preserve">Federal, state, and local government budgets increasingly allocated to digital transformation (cloud migration, cybersecurity, integrated platforms). Deltek (part of App Software, material contributor) is largest player in government consulting/accounting software.</w:t>
      </w:r>
    </w:p>
    <w:p>
      <w:pPr>
        <w:pStyle w:val="BodyText"/>
      </w:pPr>
      <w:r>
        <w:rPr>
          <w:b/>
        </w:rPr>
        <w:t xml:space="preserve">Financial Line Impact:</w:t>
      </w:r>
      <w:r>
        <w:t xml:space="preserve"> </w:t>
      </w:r>
      <w:r>
        <w:t xml:space="preserve">Deltek is embedded in App Software ($4,483M [10-K]) and contributes to recurring revenue base. Government vertical is primary customer base. FY2026 guidance explicitly assumes</w:t>
      </w:r>
      <w:r>
        <w:t xml:space="preserve"> </w:t>
      </w:r>
      <w:r>
        <w:t xml:space="preserve">“</w:t>
      </w:r>
      <w:r>
        <w:t xml:space="preserve">no Deltek GovCon improvement</w:t>
      </w:r>
      <w:r>
        <w:t xml:space="preserve">”</w:t>
      </w:r>
      <w:r>
        <w:t xml:space="preserve"> </w:t>
      </w:r>
      <w:r>
        <w:t xml:space="preserve">[Management Guidance], implying current street expectations are flat.</w:t>
      </w:r>
    </w:p>
    <w:p>
      <w:pPr>
        <w:pStyle w:val="BodyText"/>
      </w:pPr>
      <w:r>
        <w:rPr>
          <w:b/>
        </w:rPr>
        <w:t xml:space="preserve">Second-Order Effects:</w:t>
      </w:r>
      <w:r>
        <w:t xml:space="preserve"> </w:t>
      </w:r>
      <w:r>
        <w:t xml:space="preserve">- Multi-year government contracts with strong SLAs reduce revenue volatility</w:t>
      </w:r>
      <w:r>
        <w:t xml:space="preserve"> </w:t>
      </w:r>
      <w:r>
        <w:t xml:space="preserve">- Cross-agency adoption creates network effects (integration, data sharing)</w:t>
      </w:r>
      <w:r>
        <w:t xml:space="preserve"> </w:t>
      </w:r>
      <w:r>
        <w:t xml:space="preserve">- Recurring revenue mix strengthens further (80%+ potential in GovCon software)</w:t>
      </w:r>
    </w:p>
    <w:p>
      <w:pPr>
        <w:pStyle w:val="BodyText"/>
      </w:pPr>
      <w:r>
        <w:rPr>
          <w:b/>
        </w:rPr>
        <w:t xml:space="preserve">Magnitude:</w:t>
      </w:r>
      <w:r>
        <w:t xml:space="preserve"> </w:t>
      </w:r>
      <w:r>
        <w:t xml:space="preserve">If Deltek achieves even +3-5% organic growth (vs. flat assumption in FY2026 guidance), incremental revenue (assuming Deltek = 25-30% of App Software) = $70-150M over next 5 years. Compounded, EBITDA upside = $35-75M.</w:t>
      </w:r>
    </w:p>
    <w:p>
      <w:pPr>
        <w:pStyle w:val="BodyText"/>
      </w:pPr>
      <w:r>
        <w:rPr>
          <w:b/>
        </w:rPr>
        <w:t xml:space="preserve">Timeline:</w:t>
      </w:r>
      <w:r>
        <w:t xml:space="preserve"> </w:t>
      </w:r>
      <w:r>
        <w:t xml:space="preserve">5-10 years; federal budgets are sticky and politically resilient.</w:t>
      </w:r>
    </w:p>
    <w:p>
      <w:pPr>
        <w:pStyle w:val="BodyText"/>
      </w:pPr>
      <w:r>
        <w:rPr>
          <w:b/>
        </w:rPr>
        <w:t xml:space="preserve">Falsification Test:</w:t>
      </w:r>
      <w:r>
        <w:t xml:space="preserve"> </w:t>
      </w:r>
      <w:r>
        <w:t xml:space="preserve">If government spending on software/IT modernization declines (measured via federal IT budget appropriations), or if competitors (e.g., Oracle, SAP) win material GovCon share, thesis weakens.</w:t>
      </w:r>
    </w:p>
    <w:p>
      <w:pPr>
        <w:pStyle w:val="BodyText"/>
      </w:pPr>
      <w:r>
        <w:rPr>
          <w:b/>
        </w:rPr>
        <w:t xml:space="preserve">Investor Implication:</w:t>
      </w:r>
      <w:r>
        <w:t xml:space="preserve"> </w:t>
      </w:r>
      <w:r>
        <w:t xml:space="preserve">The conservative FY2026 guidance (no GovCon improvement) leaves room for positive surprise as government modernization budgets accelerate.</w:t>
      </w:r>
    </w:p>
    <w:p>
      <w:r>
        <w:pict>
          <v:rect style="width:0;height:1.5pt" o:hralign="center" o:hrstd="t" o:hr="t"/>
        </w:pict>
      </w:r>
    </w:p>
    <w:p>
      <w:pPr>
        <w:pStyle w:val="Heading3"/>
      </w:pPr>
      <w:bookmarkStart w:id="120" w:name="cyclical-tailwinds-13-year-horizons"/>
      <w:r>
        <w:t xml:space="preserve">CYCLICAL TAILWINDS (1–3 Year Horizons)</w:t>
      </w:r>
      <w:bookmarkEnd w:id="120"/>
    </w:p>
    <w:p>
      <w:pPr>
        <w:pStyle w:val="Heading4"/>
      </w:pPr>
      <w:bookmarkStart w:id="121" w:name="X22c55b51bc1c8fa6235bdc188e0e7d06844db9b"/>
      <w:r>
        <w:t xml:space="preserve">1. Freight Market Recovery (DAT Freight Platform) (12-24 months)</w:t>
      </w:r>
      <w:bookmarkEnd w:id="121"/>
    </w:p>
    <w:p>
      <w:pPr>
        <w:pStyle w:val="FirstParagraph"/>
      </w:pPr>
      <w:r>
        <w:rPr>
          <w:b/>
        </w:rPr>
        <w:t xml:space="preserve">Trigger:</w:t>
      </w:r>
      <w:r>
        <w:t xml:space="preserve"> </w:t>
      </w:r>
      <w:r>
        <w:t xml:space="preserve">Freight utilization recovery post-2024 downturn; capacity constraints as fleet ages without replacement; fuel cost normalization; e-commerce rebound.</w:t>
      </w:r>
    </w:p>
    <w:p>
      <w:pPr>
        <w:pStyle w:val="BodyText"/>
      </w:pPr>
      <w:r>
        <w:rPr>
          <w:b/>
        </w:rPr>
        <w:t xml:space="preserve">Financial Line Impact:</w:t>
      </w:r>
      <w:r>
        <w:t xml:space="preserve"> </w:t>
      </w:r>
      <w:r>
        <w:t xml:space="preserve">DAT is embedded in Network Software ($1,601M [10-K]) and contributed to ~4% organic growth. FY2026 guidance assumes</w:t>
      </w:r>
      <w:r>
        <w:t xml:space="preserve"> </w:t>
      </w:r>
      <w:r>
        <w:t xml:space="preserve">“</w:t>
      </w:r>
      <w:r>
        <w:t xml:space="preserve">modest Neptune decline</w:t>
      </w:r>
      <w:r>
        <w:t xml:space="preserve">”</w:t>
      </w:r>
      <w:r>
        <w:t xml:space="preserve"> </w:t>
      </w:r>
      <w:r>
        <w:t xml:space="preserve">[Management Guidance], suggesting freight recovery is not yet baked in.</w:t>
      </w:r>
    </w:p>
    <w:p>
      <w:pPr>
        <w:pStyle w:val="BodyText"/>
      </w:pPr>
      <w:r>
        <w:rPr>
          <w:b/>
        </w:rPr>
        <w:t xml:space="preserve">Second-Order Effects:</w:t>
      </w:r>
      <w:r>
        <w:t xml:space="preserve"> </w:t>
      </w:r>
      <w:r>
        <w:t xml:space="preserve">- Higher utilization rates drive pricing power for DAT’s brokerage and marketplace platform</w:t>
      </w:r>
      <w:r>
        <w:t xml:space="preserve"> </w:t>
      </w:r>
      <w:r>
        <w:t xml:space="preserve">- Subscription take-rate expansion as customers pay more for real-time visibility</w:t>
      </w:r>
      <w:r>
        <w:t xml:space="preserve"> </w:t>
      </w:r>
      <w:r>
        <w:t xml:space="preserve">- Potential pricing lift in freight/logistics software</w:t>
      </w:r>
    </w:p>
    <w:p>
      <w:pPr>
        <w:pStyle w:val="BodyText"/>
      </w:pPr>
      <w:r>
        <w:rPr>
          <w:b/>
        </w:rPr>
        <w:t xml:space="preserve">Magnitude:</w:t>
      </w:r>
      <w:r>
        <w:t xml:space="preserve"> </w:t>
      </w:r>
      <w:r>
        <w:t xml:space="preserve">If freight normalizes +5-10% in FY2026-2027, and DAT benefits from +2-4% incremental organic growth, Network Software organic could accelerate from +4% to +6-8%, adding ~$30-60M to revenue.</w:t>
      </w:r>
    </w:p>
    <w:p>
      <w:pPr>
        <w:pStyle w:val="BodyText"/>
      </w:pPr>
      <w:r>
        <w:rPr>
          <w:b/>
        </w:rPr>
        <w:t xml:space="preserve">Timeline:</w:t>
      </w:r>
      <w:r>
        <w:t xml:space="preserve"> </w:t>
      </w:r>
      <w:r>
        <w:t xml:space="preserve">12-24 months; cyclical recovery typically 18-month window.</w:t>
      </w:r>
    </w:p>
    <w:p>
      <w:pPr>
        <w:pStyle w:val="BodyText"/>
      </w:pPr>
      <w:r>
        <w:rPr>
          <w:b/>
        </w:rPr>
        <w:t xml:space="preserve">Falsification Test:</w:t>
      </w:r>
      <w:r>
        <w:t xml:space="preserve"> </w:t>
      </w:r>
      <w:r>
        <w:t xml:space="preserve">If freight ton-miles or spot rates decline further, or if DAT customer churn accelerates, thesis is falsified.</w:t>
      </w:r>
    </w:p>
    <w:p>
      <w:pPr>
        <w:pStyle w:val="BodyText"/>
      </w:pPr>
      <w:r>
        <w:rPr>
          <w:b/>
        </w:rPr>
        <w:t xml:space="preserve">Investor Implication:</w:t>
      </w:r>
      <w:r>
        <w:t xml:space="preserve"> </w:t>
      </w:r>
      <w:r>
        <w:t xml:space="preserve">Freight recovery is a short-term organic growth kicker not yet reflected in FY2026 guidance; monitor freight indices and DAT platform utilization trends quarterly.</w:t>
      </w:r>
    </w:p>
    <w:p>
      <w:r>
        <w:pict>
          <v:rect style="width:0;height:1.5pt" o:hralign="center" o:hrstd="t" o:hr="t"/>
        </w:pict>
      </w:r>
    </w:p>
    <w:p>
      <w:pPr>
        <w:pStyle w:val="Heading4"/>
      </w:pPr>
      <w:bookmarkStart w:id="122" w:name="X79369825c4c88bc441f670b703b436999a609d0"/>
      <w:r>
        <w:t xml:space="preserve">2. Acquisition Integration &amp; Synergy Realization (12-36 months)</w:t>
      </w:r>
      <w:bookmarkEnd w:id="122"/>
    </w:p>
    <w:p>
      <w:pPr>
        <w:pStyle w:val="FirstParagraph"/>
      </w:pPr>
      <w:r>
        <w:rPr>
          <w:b/>
        </w:rPr>
        <w:t xml:space="preserve">Trigger:</w:t>
      </w:r>
      <w:r>
        <w:t xml:space="preserve"> </w:t>
      </w:r>
      <w:r>
        <w:t xml:space="preserve">Roper has deployed ~$8.96B in acquisitions over 3 years [Capital Deployment]. Each acquisition integration cycle (esp. Procare, CentralReach) drives synergy realization and operational leverage.</w:t>
      </w:r>
    </w:p>
    <w:p>
      <w:pPr>
        <w:pStyle w:val="BodyText"/>
      </w:pPr>
      <w:r>
        <w:rPr>
          <w:b/>
        </w:rPr>
        <w:t xml:space="preserve">Financial Line Impact:</w:t>
      </w:r>
      <w:r>
        <w:t xml:space="preserve"> </w:t>
      </w:r>
      <w:r>
        <w:t xml:space="preserve">Procare (App Software) is experiencing</w:t>
      </w:r>
      <w:r>
        <w:t xml:space="preserve"> </w:t>
      </w:r>
      <w:r>
        <w:t xml:space="preserve">“</w:t>
      </w:r>
      <w:r>
        <w:t xml:space="preserve">implementation delays, fixable</w:t>
      </w:r>
      <w:r>
        <w:t xml:space="preserve">”</w:t>
      </w:r>
      <w:r>
        <w:t xml:space="preserve"> </w:t>
      </w:r>
      <w:r>
        <w:t xml:space="preserve">[Management Commentary], suggesting margin expansion potential. CentralReach is</w:t>
      </w:r>
      <w:r>
        <w:t xml:space="preserve"> </w:t>
      </w:r>
      <w:r>
        <w:t xml:space="preserve">“</w:t>
      </w:r>
      <w:r>
        <w:t xml:space="preserve">ahead of deal model</w:t>
      </w:r>
      <w:r>
        <w:t xml:space="preserve">”</w:t>
      </w:r>
      <w:r>
        <w:t xml:space="preserve"> </w:t>
      </w:r>
      <w:r>
        <w:t xml:space="preserve">[Management Commentary], implying EBITDA accretion. Amortization headwinds ($858.4M FY2025 [10-K]) moderate as older deal amortization periods wind down.</w:t>
      </w:r>
    </w:p>
    <w:p>
      <w:pPr>
        <w:pStyle w:val="BodyText"/>
      </w:pPr>
      <w:r>
        <w:rPr>
          <w:b/>
        </w:rPr>
        <w:t xml:space="preserve">Second-Order Effects:</w:t>
      </w:r>
      <w:r>
        <w:t xml:space="preserve"> </w:t>
      </w:r>
      <w:r>
        <w:t xml:space="preserve">- EBITDA margins expand 50-150 bps as integration completes</w:t>
      </w:r>
      <w:r>
        <w:t xml:space="preserve"> </w:t>
      </w:r>
      <w:r>
        <w:t xml:space="preserve">- FCF accelerates as integration capital spend normalizes</w:t>
      </w:r>
      <w:r>
        <w:t xml:space="preserve"> </w:t>
      </w:r>
      <w:r>
        <w:t xml:space="preserve">- Potential for faster deleveraging (currently 2.9x net debt/EBITDA [10-K])</w:t>
      </w:r>
    </w:p>
    <w:p>
      <w:pPr>
        <w:pStyle w:val="BodyText"/>
      </w:pPr>
      <w:r>
        <w:rPr>
          <w:b/>
        </w:rPr>
        <w:t xml:space="preserve">Magnitude:</w:t>
      </w:r>
      <w:r>
        <w:t xml:space="preserve"> </w:t>
      </w:r>
      <w:r>
        <w:t xml:space="preserve">If amortization decline and integration synergies generate +100 bps EBITDA margin lift over 2 years, incremental EBITDA = $100-150M on $7.9B revenue base. FCF upside = $50-100M post-integration capex normalization.</w:t>
      </w:r>
    </w:p>
    <w:p>
      <w:pPr>
        <w:pStyle w:val="BodyText"/>
      </w:pPr>
      <w:r>
        <w:rPr>
          <w:b/>
        </w:rPr>
        <w:t xml:space="preserve">Timeline:</w:t>
      </w:r>
      <w:r>
        <w:t xml:space="preserve"> </w:t>
      </w:r>
      <w:r>
        <w:t xml:space="preserve">12-36 months post-acquisition; CentralReach, Procare critical near-term catalysts.</w:t>
      </w:r>
    </w:p>
    <w:p>
      <w:pPr>
        <w:pStyle w:val="BodyText"/>
      </w:pPr>
      <w:r>
        <w:rPr>
          <w:b/>
        </w:rPr>
        <w:t xml:space="preserve">Falsification Test:</w:t>
      </w:r>
      <w:r>
        <w:t xml:space="preserve"> </w:t>
      </w:r>
      <w:r>
        <w:t xml:space="preserve">If Procare integration delays extend beyond 12 months, or if CentralReach misses bookings targets, thesis weakens.</w:t>
      </w:r>
    </w:p>
    <w:p>
      <w:pPr>
        <w:pStyle w:val="BodyText"/>
      </w:pPr>
      <w:r>
        <w:rPr>
          <w:b/>
        </w:rPr>
        <w:t xml:space="preserve">Investor Implication:</w:t>
      </w:r>
      <w:r>
        <w:t xml:space="preserve"> </w:t>
      </w:r>
      <w:r>
        <w:t xml:space="preserve">Acquisition integration is a near-term FCF and EBITDA margin accretion driver; track quarterly operating margin trends by segment for evidence.</w:t>
      </w:r>
    </w:p>
    <w:p>
      <w:r>
        <w:pict>
          <v:rect style="width:0;height:1.5pt" o:hralign="center" o:hrstd="t" o:hr="t"/>
        </w:pict>
      </w:r>
    </w:p>
    <w:p>
      <w:pPr>
        <w:pStyle w:val="Heading3"/>
      </w:pPr>
      <w:bookmarkStart w:id="123" w:name="X6058686b22ec9f4ed8972a094cf591b860a4ab5"/>
      <w:r>
        <w:t xml:space="preserve">MATERIAL RISKS (Execution, Competitive, Regulatory, Capital)</w:t>
      </w:r>
      <w:bookmarkEnd w:id="123"/>
    </w:p>
    <w:p>
      <w:pPr>
        <w:pStyle w:val="Heading4"/>
      </w:pPr>
      <w:bookmarkStart w:id="124" w:name="X23b254ab3db73b8f8515845160982626f4f9553"/>
      <w:r>
        <w:t xml:space="preserve">1. EXECUTION RISK: Acquisition Integration Failure &amp; Goodwill Impairment</w:t>
      </w:r>
      <w:bookmarkEnd w:id="124"/>
    </w:p>
    <w:p>
      <w:pPr>
        <w:pStyle w:val="FirstParagraph"/>
      </w:pPr>
      <w:r>
        <w:rPr>
          <w:b/>
        </w:rPr>
        <w:t xml:space="preserve">Definition:</w:t>
      </w:r>
      <w:r>
        <w:t xml:space="preserve"> </w:t>
      </w:r>
      <w:r>
        <w:t xml:space="preserve">Roper has accumulated $21,341M in goodwill (62% of total assets, $30.9B [10-K]). Heavy M&amp;A pace ($8.96B over 3 years [Capital Deployment]) without step-function efficiency gains could trigger impairment charges.</w:t>
      </w:r>
    </w:p>
    <w:p>
      <w:pPr>
        <w:pStyle w:val="BodyText"/>
      </w:pPr>
      <w:r>
        <w:rPr>
          <w:b/>
        </w:rPr>
        <w:t xml:space="preserve">Mechanism:</w:t>
      </w:r>
      <w:r>
        <w:t xml:space="preserve"> </w:t>
      </w:r>
      <w:r>
        <w:t xml:space="preserve">- Deltek GovCon business flat-to-declining (assumed in FY2026 guidance [Management Guidance])</w:t>
      </w:r>
      <w:r>
        <w:t xml:space="preserve"> </w:t>
      </w:r>
      <w:r>
        <w:t xml:space="preserve">- Procare implementation delays reducing deal upside</w:t>
      </w:r>
      <w:r>
        <w:t xml:space="preserve"> </w:t>
      </w:r>
      <w:r>
        <w:t xml:space="preserve">- Overpaid acquisition multiples in 2023-2024 (peak market valuations)</w:t>
      </w:r>
      <w:r>
        <w:t xml:space="preserve"> </w:t>
      </w:r>
      <w:r>
        <w:t xml:space="preserve">- Customer concentration in Deltek and Procare if integration fails</w:t>
      </w:r>
    </w:p>
    <w:p>
      <w:pPr>
        <w:pStyle w:val="BodyText"/>
      </w:pPr>
      <w:r>
        <w:rPr>
          <w:b/>
        </w:rPr>
        <w:t xml:space="preserve">Financial Impact:</w:t>
      </w:r>
      <w:r>
        <w:t xml:space="preserve"> </w:t>
      </w:r>
      <w:r>
        <w:t xml:space="preserve">Goodwill impairment charge of 10-15% of current goodwill = $2.1-3.2B non-cash charge, wiping out ~2 years of GAAP net income ($1.54B FY2025 [10-K]). GAAP EPS impact: ~$25-38/share [calc: $2.1-3.2B / ~125M shares est.]. Adjusted DEPS unaffected, but investor confidence erosion.</w:t>
      </w:r>
    </w:p>
    <w:p>
      <w:pPr>
        <w:pStyle w:val="BodyText"/>
      </w:pPr>
      <w:r>
        <w:rPr>
          <w:b/>
        </w:rPr>
        <w:t xml:space="preserve">Probability:</w:t>
      </w:r>
      <w:r>
        <w:t xml:space="preserve"> </w:t>
      </w:r>
      <w:r>
        <w:t xml:space="preserve">P(impairment) = 20-25% over next 3 years; driven by slower-than-expected organic growth, competitive losses, or macro slowdown.</w:t>
      </w:r>
    </w:p>
    <w:p>
      <w:pPr>
        <w:pStyle w:val="BodyText"/>
      </w:pPr>
      <w:r>
        <w:rPr>
          <w:b/>
        </w:rPr>
        <w:t xml:space="preserve">Timeline:</w:t>
      </w:r>
      <w:r>
        <w:t xml:space="preserve"> </w:t>
      </w:r>
      <w:r>
        <w:t xml:space="preserve">Annually, triggered if impairment test (FY-end) shows fair value &lt; book value.</w:t>
      </w:r>
    </w:p>
    <w:p>
      <w:pPr>
        <w:pStyle w:val="BodyText"/>
      </w:pPr>
      <w:r>
        <w:rPr>
          <w:b/>
        </w:rPr>
        <w:t xml:space="preserve">Falsification Test:</w:t>
      </w:r>
      <w:r>
        <w:t xml:space="preserve"> </w:t>
      </w:r>
      <w:r>
        <w:t xml:space="preserve">If segment-level organic growth accelerates above +6% and D&amp;A declines as % of revenue, impairment risk recedes.</w:t>
      </w:r>
    </w:p>
    <w:p>
      <w:pPr>
        <w:pStyle w:val="BodyText"/>
      </w:pPr>
      <w:r>
        <w:rPr>
          <w:b/>
        </w:rPr>
        <w:t xml:space="preserve">Expected Valuation Haircut:</w:t>
      </w:r>
      <w:r>
        <w:t xml:space="preserve"> </w:t>
      </w:r>
      <w:r>
        <w:t xml:space="preserve">20% × $2.2B midpoint charge / ~$100-150B enterprise value (est.) = 1.5-3.3% EV impact. Conservative haircut = -300-500 bps to valuation.</w:t>
      </w:r>
    </w:p>
    <w:p>
      <w:pPr>
        <w:pStyle w:val="BodyText"/>
      </w:pPr>
      <w:r>
        <w:rPr>
          <w:b/>
        </w:rPr>
        <w:t xml:space="preserve">Investor Implication:</w:t>
      </w:r>
      <w:r>
        <w:t xml:space="preserve"> </w:t>
      </w:r>
      <w:r>
        <w:t xml:space="preserve">Goodwill impairment risk is the key downside scenario if organic growth remains anchored at 5-6% and doesn’t accelerate to management’s</w:t>
      </w:r>
      <w:r>
        <w:t xml:space="preserve"> </w:t>
      </w:r>
      <w:r>
        <w:t xml:space="preserve">“</w:t>
      </w:r>
      <w:r>
        <w:t xml:space="preserve">north of 8%</w:t>
      </w:r>
      <w:r>
        <w:t xml:space="preserve">”</w:t>
      </w:r>
      <w:r>
        <w:t xml:space="preserve"> </w:t>
      </w:r>
      <w:r>
        <w:t xml:space="preserve">aspiration [Management Commentary]; monitor segment organic growth trends religiously.</w:t>
      </w:r>
    </w:p>
    <w:p>
      <w:r>
        <w:pict>
          <v:rect style="width:0;height:1.5pt" o:hralign="center" o:hrstd="t" o:hr="t"/>
        </w:pict>
      </w:r>
    </w:p>
    <w:p>
      <w:pPr>
        <w:pStyle w:val="Heading4"/>
      </w:pPr>
      <w:bookmarkStart w:id="125" w:name="Xfa27e314f25c44695b2456b9d54efe04b0a1c1a"/>
      <w:r>
        <w:t xml:space="preserve">2. COMPETITIVE RISK: Category Disruption (Software &amp; AI Displacement)</w:t>
      </w:r>
      <w:bookmarkEnd w:id="125"/>
    </w:p>
    <w:p>
      <w:pPr>
        <w:pStyle w:val="FirstParagraph"/>
      </w:pPr>
      <w:r>
        <w:rPr>
          <w:b/>
        </w:rPr>
        <w:t xml:space="preserve">Definition:</w:t>
      </w:r>
      <w:r>
        <w:t xml:space="preserve"> </w:t>
      </w:r>
      <w:r>
        <w:t xml:space="preserve">Enterprise software categories (ERP, accounting, legal research, freight logistics) face new entrants and incumbents bundling AI, potentially commoditizing workflows where Roper has premium pricing.</w:t>
      </w:r>
    </w:p>
    <w:p>
      <w:pPr>
        <w:pStyle w:val="BodyText"/>
      </w:pPr>
      <w:r>
        <w:rPr>
          <w:b/>
        </w:rPr>
        <w:t xml:space="preserve">Specific Exposures:</w:t>
      </w:r>
      <w:r>
        <w:t xml:space="preserve"> </w:t>
      </w:r>
      <w:r>
        <w:t xml:space="preserve">-</w:t>
      </w:r>
      <w:r>
        <w:t xml:space="preserve"> </w:t>
      </w:r>
      <w:r>
        <w:rPr>
          <w:b/>
        </w:rPr>
        <w:t xml:space="preserve">Deltek (GovCon software):</w:t>
      </w:r>
      <w:r>
        <w:t xml:space="preserve"> </w:t>
      </w:r>
      <w:r>
        <w:t xml:space="preserve">Oracle, SAP, and cloud-native GovTech startups (e.g., Divvy, FreshWorks) entering GovCon with lower-cost AI-powered solutions.</w:t>
      </w:r>
      <w:r>
        <w:t xml:space="preserve"> </w:t>
      </w:r>
      <w:r>
        <w:t xml:space="preserve">-</w:t>
      </w:r>
      <w:r>
        <w:t xml:space="preserve"> </w:t>
      </w:r>
      <w:r>
        <w:rPr>
          <w:b/>
        </w:rPr>
        <w:t xml:space="preserve">Procare (childcare vertical software):</w:t>
      </w:r>
      <w:r>
        <w:t xml:space="preserve"> </w:t>
      </w:r>
      <w:r>
        <w:t xml:space="preserve">New AI-powered scheduling/parent communication tools cannibalizing premium features.</w:t>
      </w:r>
      <w:r>
        <w:t xml:space="preserve"> </w:t>
      </w:r>
      <w:r>
        <w:t xml:space="preserve">-</w:t>
      </w:r>
      <w:r>
        <w:t xml:space="preserve"> </w:t>
      </w:r>
      <w:r>
        <w:rPr>
          <w:b/>
        </w:rPr>
        <w:t xml:space="preserve">Network Software (freight, construction):</w:t>
      </w:r>
      <w:r>
        <w:t xml:space="preserve"> </w:t>
      </w:r>
      <w:r>
        <w:t xml:space="preserve">C.H. Robinson, Flexport, Amazon, Tesla entering with AI-powered logistics optimization and potentially undercutting DAT on pricing.</w:t>
      </w:r>
    </w:p>
    <w:p>
      <w:pPr>
        <w:pStyle w:val="BodyText"/>
      </w:pPr>
      <w:r>
        <w:rPr>
          <w:b/>
        </w:rPr>
        <w:t xml:space="preserve">Financial Impact:</w:t>
      </w:r>
      <w:r>
        <w:t xml:space="preserve"> </w:t>
      </w:r>
      <w:r>
        <w:t xml:space="preserve">If any vertical experiences +3-5% organic growth headwind (vs. historical +5-7%), revenue deceleration of $200-400M over 3 years. EBITDA margin compression of 200-300 bps if pricing power erodes. Example: App Software (42.5% EBITDA margin [10-K]) declining to 40% = $90M EBITDA loss.</w:t>
      </w:r>
    </w:p>
    <w:p>
      <w:pPr>
        <w:pStyle w:val="BodyText"/>
      </w:pPr>
      <w:r>
        <w:rPr>
          <w:b/>
        </w:rPr>
        <w:t xml:space="preserve">Probability:</w:t>
      </w:r>
      <w:r>
        <w:t xml:space="preserve"> </w:t>
      </w:r>
      <w:r>
        <w:t xml:space="preserve">P(competitive disruption) = 30-40% over 5 years; higher for Deltek (10-year GovTech landscape shift), lower for highly vertical solutions.</w:t>
      </w:r>
    </w:p>
    <w:p>
      <w:pPr>
        <w:pStyle w:val="BodyText"/>
      </w:pPr>
      <w:r>
        <w:rPr>
          <w:b/>
        </w:rPr>
        <w:t xml:space="preserve">Timeline:</w:t>
      </w:r>
      <w:r>
        <w:t xml:space="preserve"> </w:t>
      </w:r>
      <w:r>
        <w:t xml:space="preserve">2-5 years for meaningful market share loss; slower in government (switching costs), faster in freight.</w:t>
      </w:r>
    </w:p>
    <w:p>
      <w:pPr>
        <w:pStyle w:val="BodyText"/>
      </w:pPr>
      <w:r>
        <w:rPr>
          <w:b/>
        </w:rPr>
        <w:t xml:space="preserve">Falsification Test:</w:t>
      </w:r>
      <w:r>
        <w:t xml:space="preserve"> </w:t>
      </w:r>
      <w:r>
        <w:t xml:space="preserve">If Roper’s NPS and customer retention rates remain &gt;90% and pricing PSA (price spread acceleration) remains flat-to-positive, competitive threat is contained.</w:t>
      </w:r>
    </w:p>
    <w:p>
      <w:pPr>
        <w:pStyle w:val="BodyText"/>
      </w:pPr>
      <w:r>
        <w:rPr>
          <w:b/>
        </w:rPr>
        <w:t xml:space="preserve">Expected Valuation Haircut:</w:t>
      </w:r>
      <w:r>
        <w:t xml:space="preserve"> </w:t>
      </w:r>
      <w:r>
        <w:t xml:space="preserve">30% × $500M incremental revenue loss / avg. $600M annual EBITDA margin = 25% haircut to EBITDA. Apply 12-15x EV/EBITDA multiple (Roper’s range [comps]): 25% × $600M × 13.5x = $2.0B EV haircut. On ~$150B EV estimate = -1.3% to -2%.</w:t>
      </w:r>
    </w:p>
    <w:p>
      <w:pPr>
        <w:pStyle w:val="BodyText"/>
      </w:pPr>
      <w:r>
        <w:rPr>
          <w:b/>
        </w:rPr>
        <w:t xml:space="preserve">Investor Implication:</w:t>
      </w:r>
      <w:r>
        <w:t xml:space="preserve"> </w:t>
      </w:r>
      <w:r>
        <w:t xml:space="preserve">AI commoditization is the structural competitive risk; monitor quarterly bookings growth and ACV (average contract value) growth by vertical SaaS business to detect early competitive erosion.</w:t>
      </w:r>
    </w:p>
    <w:p>
      <w:r>
        <w:pict>
          <v:rect style="width:0;height:1.5pt" o:hralign="center" o:hrstd="t" o:hr="t"/>
        </w:pict>
      </w:r>
    </w:p>
    <w:p>
      <w:pPr>
        <w:pStyle w:val="Heading4"/>
      </w:pPr>
      <w:bookmarkStart w:id="126" w:name="Xa005880545e58fb9676145355abfa9ee7821e04"/>
      <w:r>
        <w:t xml:space="preserve">3. CAPITAL ALLOCATION RISK: Excess Leverage &amp; Debt Burden</w:t>
      </w:r>
      <w:bookmarkEnd w:id="126"/>
    </w:p>
    <w:p>
      <w:pPr>
        <w:pStyle w:val="FirstParagraph"/>
      </w:pPr>
      <w:r>
        <w:rPr>
          <w:b/>
        </w:rPr>
        <w:t xml:space="preserve">Definition:</w:t>
      </w:r>
      <w:r>
        <w:t xml:space="preserve"> </w:t>
      </w:r>
      <w:r>
        <w:t xml:space="preserve">Roper maintains net debt of $9,854M (2.9x net debt/EBITDA [10-K]), up materially from 2022 due to $8.96B in M&amp;A. Forward capacity is $6B+, with $2.5B remaining on buyback authorization and $3.5B revolver ($2.65B undrawn) [Capital Deployment].</w:t>
      </w:r>
    </w:p>
    <w:p>
      <w:pPr>
        <w:pStyle w:val="BodyText"/>
      </w:pPr>
      <w:r>
        <w:rPr>
          <w:b/>
        </w:rPr>
        <w:t xml:space="preserve">Risk Mechanism:</w:t>
      </w:r>
      <w:r>
        <w:t xml:space="preserve"> </w:t>
      </w:r>
      <w:r>
        <w:t xml:space="preserve">- If EBITDA stalls (organic growth slows to +2-3%), net debt/EBITDA could spike to 3.5-4.5x, reducing financial flexibility.</w:t>
      </w:r>
      <w:r>
        <w:t xml:space="preserve"> </w:t>
      </w:r>
      <w:r>
        <w:t xml:space="preserve">- Refinancing risk if interest rates remain elevated (currently 325M annual interest [10-K], ~3.2% blended rate).</w:t>
      </w:r>
      <w:r>
        <w:t xml:space="preserve"> </w:t>
      </w:r>
      <w:r>
        <w:t xml:space="preserve">- Pressure to generate FCF to deleverage rather than invest in innovation or return cash to shareholders.</w:t>
      </w:r>
    </w:p>
    <w:p>
      <w:pPr>
        <w:pStyle w:val="BodyText"/>
      </w:pPr>
      <w:r>
        <w:rPr>
          <w:b/>
        </w:rPr>
        <w:t xml:space="preserve">Financial Impact:</w:t>
      </w:r>
      <w:r>
        <w:t xml:space="preserve"> </w:t>
      </w:r>
      <w:r>
        <w:t xml:space="preserve">If leverage rises to 4.0x and debt covenants tighten, Roper may be forced to suspend buybacks ($500M in Q4 2025 [Capital Deployment]) and limit M&amp;A. Incremental annual interest expense = ~$150M if rates rise 100 bps on refinancing. FCF drag of $150M/yr = 6-7% of FY2025 FCF ($2,466M [10-K]).</w:t>
      </w:r>
    </w:p>
    <w:p>
      <w:pPr>
        <w:pStyle w:val="BodyText"/>
      </w:pPr>
      <w:r>
        <w:rPr>
          <w:b/>
        </w:rPr>
        <w:t xml:space="preserve">Probability:</w:t>
      </w:r>
      <w:r>
        <w:t xml:space="preserve"> </w:t>
      </w:r>
      <w:r>
        <w:t xml:space="preserve">P(excess leverage concern) = 25-35% over 2-3 years if organic growth underperforms and/or macro recession hits.</w:t>
      </w:r>
    </w:p>
    <w:p>
      <w:pPr>
        <w:pStyle w:val="BodyText"/>
      </w:pPr>
      <w:r>
        <w:rPr>
          <w:b/>
        </w:rPr>
        <w:t xml:space="preserve">Timeline:</w:t>
      </w:r>
      <w:r>
        <w:t xml:space="preserve"> </w:t>
      </w:r>
      <w:r>
        <w:t xml:space="preserve">2-3 years; dependent on organic growth delivery and rates environment.</w:t>
      </w:r>
    </w:p>
    <w:p>
      <w:pPr>
        <w:pStyle w:val="BodyText"/>
      </w:pPr>
      <w:r>
        <w:rPr>
          <w:b/>
        </w:rPr>
        <w:t xml:space="preserve">Falsification Test:</w:t>
      </w:r>
      <w:r>
        <w:t xml:space="preserve"> </w:t>
      </w:r>
      <w:r>
        <w:t xml:space="preserve">If net debt/EBITDA declines to &lt;2.5x within 24 months through deleveraging, or if organic growth accelerates to +7%+, leverage risk is mitigated.</w:t>
      </w:r>
    </w:p>
    <w:p>
      <w:pPr>
        <w:pStyle w:val="BodyText"/>
      </w:pPr>
      <w:r>
        <w:rPr>
          <w:b/>
        </w:rPr>
        <w:t xml:space="preserve">Expected Valuation Haircut:</w:t>
      </w:r>
      <w:r>
        <w:t xml:space="preserve"> </w:t>
      </w:r>
      <w:r>
        <w:t xml:space="preserve">If leverage rises to 4.0x and cost of debt rises 100 bps (interest expense +$150M), EV impact = +$150M interest × 8x multiple (debt/equity multiple) = -$1.2B EV, or ~1.2% on ~$150B EV estimate.</w:t>
      </w:r>
    </w:p>
    <w:p>
      <w:pPr>
        <w:pStyle w:val="BodyText"/>
      </w:pPr>
      <w:r>
        <w:rPr>
          <w:b/>
        </w:rPr>
        <w:t xml:space="preserve">Investor Implication:</w:t>
      </w:r>
      <w:r>
        <w:t xml:space="preserve"> </w:t>
      </w:r>
      <w:r>
        <w:t xml:space="preserve">Roper’s leverage and buyback trajectory are contingent on organic growth acceleration; if FY2026 organic growth disappoints (&lt;5%), expect capital deployment to shift from shareholder returns to deleveraging.</w:t>
      </w:r>
    </w:p>
    <w:p>
      <w:r>
        <w:pict>
          <v:rect style="width:0;height:1.5pt" o:hralign="center" o:hrstd="t" o:hr="t"/>
        </w:pict>
      </w:r>
    </w:p>
    <w:p>
      <w:pPr>
        <w:pStyle w:val="Heading4"/>
      </w:pPr>
      <w:bookmarkStart w:id="127" w:name="Xc224aef2ffbbf6bc78ef187848722fe8ea19d30"/>
      <w:r>
        <w:t xml:space="preserve">4. REGULATORY &amp; OPERATIONAL RISK: Government Customer Concentration &amp; Deltek Dependency</w:t>
      </w:r>
      <w:bookmarkEnd w:id="127"/>
    </w:p>
    <w:p>
      <w:pPr>
        <w:pStyle w:val="FirstParagraph"/>
      </w:pPr>
      <w:r>
        <w:rPr>
          <w:b/>
        </w:rPr>
        <w:t xml:space="preserve">Definition:</w:t>
      </w:r>
      <w:r>
        <w:t xml:space="preserve"> </w:t>
      </w:r>
      <w:r>
        <w:t xml:space="preserve">Deltek is the largest government software provider in the U.S., serving 25,000+ government entities and contractors. App Software segment ($4,483M) likely derives 25-35% revenue from Deltek (est.). Government spending is subject to political cycles, budget volatility, and cybersecurity compliance requirements.</w:t>
      </w:r>
    </w:p>
    <w:p>
      <w:pPr>
        <w:pStyle w:val="BodyText"/>
      </w:pPr>
      <w:r>
        <w:rPr>
          <w:b/>
        </w:rPr>
        <w:t xml:space="preserve">Risk Mechanism:</w:t>
      </w:r>
      <w:r>
        <w:t xml:space="preserve"> </w:t>
      </w:r>
      <w:r>
        <w:t xml:space="preserve">- Federal IT budget cuts (e.g., GAO, DoD efficiency mandates) directly reduce Deltek revenue.</w:t>
      </w:r>
      <w:r>
        <w:t xml:space="preserve"> </w:t>
      </w:r>
      <w:r>
        <w:t xml:space="preserve">- New cybersecurity regulations (FedRAMP, NIST mandates) require costly compliance re-investment without pricing uplift.</w:t>
      </w:r>
      <w:r>
        <w:t xml:space="preserve"> </w:t>
      </w:r>
      <w:r>
        <w:t xml:space="preserve">- Customer concentration: If top 10 Deltek customers = &gt;20% of Deltek revenue, loss of single customer = $40-60M revenue hit.</w:t>
      </w:r>
      <w:r>
        <w:t xml:space="preserve"> </w:t>
      </w:r>
      <w:r>
        <w:t xml:space="preserve">- Potential for security breach given government data sensitivity; compliance failures could trigger contract terminations.</w:t>
      </w:r>
    </w:p>
    <w:p>
      <w:pPr>
        <w:pStyle w:val="BodyText"/>
      </w:pPr>
      <w:r>
        <w:rPr>
          <w:b/>
        </w:rPr>
        <w:t xml:space="preserve">Financial Impact:</w:t>
      </w:r>
      <w:r>
        <w:t xml:space="preserve"> </w:t>
      </w:r>
      <w:r>
        <w:t xml:space="preserve">10% Deltek revenue loss (assume Deltek = $1.1-1.3B of App Software) = $110-130M revenue headwind, ~$50-60M EBITDA loss (assume 40-50% margin). Over 3 years, EBITDA CAGR decline from +6% to +3%.</w:t>
      </w:r>
    </w:p>
    <w:p>
      <w:pPr>
        <w:pStyle w:val="BodyText"/>
      </w:pPr>
      <w:r>
        <w:rPr>
          <w:b/>
        </w:rPr>
        <w:t xml:space="preserve">Probability:</w:t>
      </w:r>
      <w:r>
        <w:t xml:space="preserve"> </w:t>
      </w:r>
      <w:r>
        <w:t xml:space="preserve">P(Deltek-driven government spending cut) = 20-25% over 5 years; P(cybersecurity incident) = 10-15% over 3 years given critical data held.</w:t>
      </w:r>
    </w:p>
    <w:p>
      <w:pPr>
        <w:pStyle w:val="BodyText"/>
      </w:pPr>
      <w:r>
        <w:rPr>
          <w:b/>
        </w:rPr>
        <w:t xml:space="preserve">Timeline:</w:t>
      </w:r>
      <w:r>
        <w:t xml:space="preserve"> </w:t>
      </w:r>
      <w:r>
        <w:t xml:space="preserve">Regulatory changes (2-3 years lead time); cuts are typically 1-year budget cycles; breaches are event-driven.</w:t>
      </w:r>
    </w:p>
    <w:p>
      <w:pPr>
        <w:pStyle w:val="BodyText"/>
      </w:pPr>
      <w:r>
        <w:rPr>
          <w:b/>
        </w:rPr>
        <w:t xml:space="preserve">Falsification Test:</w:t>
      </w:r>
      <w:r>
        <w:t xml:space="preserve"> </w:t>
      </w:r>
      <w:r>
        <w:t xml:space="preserve">If government IT budgets grow &gt;3% CAGR and Deltek bookings exceed +6% organic growth, risk is contained. Monitor federal IT appropriations (CBO reports) quarterly.</w:t>
      </w:r>
    </w:p>
    <w:p>
      <w:pPr>
        <w:pStyle w:val="BodyText"/>
      </w:pPr>
      <w:r>
        <w:rPr>
          <w:b/>
        </w:rPr>
        <w:t xml:space="preserve">Expected Valuation Haircut:</w:t>
      </w:r>
      <w:r>
        <w:t xml:space="preserve"> </w:t>
      </w:r>
      <w:r>
        <w:t xml:space="preserve">25% × $55M EBITDA loss / $3.1B EBITDA = 0.44% haircut. Apply 13.5x EBITDA multiple: 0.44% × 13.5x = -5.9% EV impact. On $150B EV, haircut = ~$9B, or -6%.</w:t>
      </w:r>
    </w:p>
    <w:p>
      <w:pPr>
        <w:pStyle w:val="BodyText"/>
      </w:pPr>
      <w:r>
        <w:rPr>
          <w:b/>
        </w:rPr>
        <w:t xml:space="preserve">Investor Implication:</w:t>
      </w:r>
      <w:r>
        <w:t xml:space="preserve"> </w:t>
      </w:r>
      <w:r>
        <w:t xml:space="preserve">Deltek’s dependency on government spending and regulatory compliance is a material execution risk; request segment-level organic growth and customer concentration metrics in investor relations.</w:t>
      </w:r>
    </w:p>
    <w:p>
      <w:r>
        <w:pict>
          <v:rect style="width:0;height:1.5pt" o:hralign="center" o:hrstd="t" o:hr="t"/>
        </w:pict>
      </w:r>
    </w:p>
    <w:p>
      <w:pPr>
        <w:pStyle w:val="Heading4"/>
      </w:pPr>
      <w:bookmarkStart w:id="128" w:name="X7f189bcb8a1190e8e028662817a97f7c4299c41"/>
      <w:r>
        <w:t xml:space="preserve">UNDISCUSSED RISK: Foreign Exchange Exposure (9% Non-USD Revenue)</w:t>
      </w:r>
      <w:bookmarkEnd w:id="128"/>
    </w:p>
    <w:p>
      <w:pPr>
        <w:pStyle w:val="FirstParagraph"/>
      </w:pPr>
      <w:r>
        <w:rPr>
          <w:b/>
        </w:rPr>
        <w:t xml:space="preserve">Definition:</w:t>
      </w:r>
      <w:r>
        <w:t xml:space="preserve"> </w:t>
      </w:r>
      <w:r>
        <w:t xml:space="preserve">Roper generates 9% of revenue in non-USD currencies (primarily EUR, GBP, CAD). FX headwinds in prior years have masked organic growth; current strong USD (2022-2024) creates translation drag.</w:t>
      </w:r>
    </w:p>
    <w:p>
      <w:pPr>
        <w:pStyle w:val="BodyText"/>
      </w:pPr>
      <w:r>
        <w:rPr>
          <w:b/>
        </w:rPr>
        <w:t xml:space="preserve">Financial Impact:</w:t>
      </w:r>
      <w:r>
        <w:t xml:space="preserve"> </w:t>
      </w:r>
      <w:r>
        <w:t xml:space="preserve">If USD strengthens another 5-10% vs. basket of currencies, FY2026 revenue headwind = $40-80M (9% × $7.9B × 5-10%). If USD weakens 10%, revenue tailwind = $40-80M. EBITDA margin compression of 20-30 bps on adverse FX movement.</w:t>
      </w:r>
    </w:p>
    <w:p>
      <w:pPr>
        <w:pStyle w:val="BodyText"/>
      </w:pPr>
      <w:r>
        <w:rPr>
          <w:b/>
        </w:rPr>
        <w:t xml:space="preserve">Probability:</w:t>
      </w:r>
      <w:r>
        <w:t xml:space="preserve"> </w:t>
      </w:r>
      <w:r>
        <w:t xml:space="preserve">P(material FX headwind) = 50% over next 2 years; USD is currently elevated but subject to mean reversion.</w:t>
      </w:r>
    </w:p>
    <w:p>
      <w:pPr>
        <w:pStyle w:val="BodyText"/>
      </w:pPr>
      <w:r>
        <w:rPr>
          <w:b/>
        </w:rPr>
        <w:t xml:space="preserve">Timeline:</w:t>
      </w:r>
      <w:r>
        <w:t xml:space="preserve"> </w:t>
      </w:r>
      <w:r>
        <w:t xml:space="preserve">Quarterly, dependent on currency movements; annual guidance typically includes FX assumption.</w:t>
      </w:r>
    </w:p>
    <w:p>
      <w:pPr>
        <w:pStyle w:val="BodyText"/>
      </w:pPr>
      <w:r>
        <w:rPr>
          <w:b/>
        </w:rPr>
        <w:t xml:space="preserve">Falsification Test:</w:t>
      </w:r>
      <w:r>
        <w:t xml:space="preserve"> </w:t>
      </w:r>
      <w:r>
        <w:t xml:space="preserve">Monitor quarterly revenue breakdown by geography; if non-USD revenue growth organically decelerates, FX headwind is material.</w:t>
      </w:r>
    </w:p>
    <w:p>
      <w:pPr>
        <w:pStyle w:val="BodyText"/>
      </w:pPr>
      <w:r>
        <w:rPr>
          <w:b/>
        </w:rPr>
        <w:t xml:space="preserve">Expected Valuation Haircut:</w:t>
      </w:r>
      <w:r>
        <w:t xml:space="preserve"> </w:t>
      </w:r>
      <w:r>
        <w:t xml:space="preserve">50% × $60M FX headwind / $3.1B EBITDA = 0.97% haircut. Apply 13.5x multiple: -1.3% EV impact on $150B EV.</w:t>
      </w:r>
    </w:p>
    <w:p>
      <w:pPr>
        <w:pStyle w:val="BodyText"/>
      </w:pPr>
      <w:r>
        <w:rPr>
          <w:b/>
        </w:rPr>
        <w:t xml:space="preserve">Investor Implication:</w:t>
      </w:r>
      <w:r>
        <w:t xml:space="preserve"> </w:t>
      </w:r>
      <w:r>
        <w:t xml:space="preserve">FX is a non-fundamental but material quarterly earnings volatility driver; monitor management guidance for FX assumptions in forward guidance.</w:t>
      </w:r>
    </w:p>
    <w:p>
      <w:r>
        <w:pict>
          <v:rect style="width:0;height:1.5pt" o:hralign="center" o:hrstd="t" o:hr="t"/>
        </w:pict>
      </w:r>
    </w:p>
    <w:p>
      <w:pPr>
        <w:pStyle w:val="Heading3"/>
      </w:pPr>
      <w:bookmarkStart w:id="129" w:name="Xb475ab336b0283bf335bd8ff135e9faeb6233d0"/>
      <w:r>
        <w:t xml:space="preserve">RISK INTEGRATION &amp; EXPECTED VALUATION HAIRCUT</w:t>
      </w:r>
      <w:bookmarkEnd w:id="129"/>
    </w:p>
    <w:tbl>
      <w:tblPr>
        <w:tblStyle w:val="Table"/>
        <w:tblW w:type="pct" w:w="0.0"/>
        <w:tblLook w:firstRow="1"/>
      </w:tblPr>
      <w:tblGrid/>
      <w:tr>
        <w:trPr>
          <w:cnfStyle w:firstRow="1"/>
        </w:trPr>
        <w:tc>
          <w:tcPr>
            <w:tcBorders>
              <w:bottom w:val="single"/>
            </w:tcBorders>
            <w:vAlign w:val="bottom"/>
          </w:tcPr>
          <w:p>
            <w:pPr>
              <w:pStyle w:val="Compact"/>
              <w:jc w:val="left"/>
            </w:pPr>
            <w:r>
              <w:t xml:space="preserve">Risk</w:t>
            </w:r>
          </w:p>
        </w:tc>
        <w:tc>
          <w:tcPr>
            <w:tcBorders>
              <w:bottom w:val="single"/>
            </w:tcBorders>
            <w:vAlign w:val="bottom"/>
          </w:tcPr>
          <w:p>
            <w:pPr>
              <w:pStyle w:val="Compact"/>
              <w:jc w:val="left"/>
            </w:pPr>
            <w:r>
              <w:t xml:space="preserve">Probability</w:t>
            </w:r>
          </w:p>
        </w:tc>
        <w:tc>
          <w:tcPr>
            <w:tcBorders>
              <w:bottom w:val="single"/>
            </w:tcBorders>
            <w:vAlign w:val="bottom"/>
          </w:tcPr>
          <w:p>
            <w:pPr>
              <w:pStyle w:val="Compact"/>
              <w:jc w:val="left"/>
            </w:pPr>
            <w:r>
              <w:t xml:space="preserve">Valuation Impact (bps)</w:t>
            </w:r>
          </w:p>
        </w:tc>
        <w:tc>
          <w:tcPr>
            <w:tcBorders>
              <w:bottom w:val="single"/>
            </w:tcBorders>
            <w:vAlign w:val="bottom"/>
          </w:tcPr>
          <w:p>
            <w:pPr>
              <w:pStyle w:val="Compact"/>
              <w:jc w:val="left"/>
            </w:pPr>
            <w:r>
              <w:t xml:space="preserve">Expected Haircut (bps)</w:t>
            </w:r>
          </w:p>
        </w:tc>
      </w:tr>
      <w:tr>
        <w:tc>
          <w:p>
            <w:pPr>
              <w:pStyle w:val="Compact"/>
              <w:jc w:val="left"/>
            </w:pPr>
            <w:r>
              <w:t xml:space="preserve">Goodwill Impairment (10-15% charge)</w:t>
            </w:r>
          </w:p>
        </w:tc>
        <w:tc>
          <w:p>
            <w:pPr>
              <w:pStyle w:val="Compact"/>
              <w:jc w:val="left"/>
            </w:pPr>
            <w:r>
              <w:t xml:space="preserve">20-25%</w:t>
            </w:r>
          </w:p>
        </w:tc>
        <w:tc>
          <w:p>
            <w:pPr>
              <w:pStyle w:val="Compact"/>
              <w:jc w:val="left"/>
            </w:pPr>
            <w:r>
              <w:t xml:space="preserve">-300 to -500</w:t>
            </w:r>
          </w:p>
        </w:tc>
        <w:tc>
          <w:p>
            <w:pPr>
              <w:pStyle w:val="Compact"/>
              <w:jc w:val="left"/>
            </w:pPr>
            <w:r>
              <w:t xml:space="preserve">-75 to -125</w:t>
            </w:r>
          </w:p>
        </w:tc>
      </w:tr>
      <w:tr>
        <w:tc>
          <w:p>
            <w:pPr>
              <w:pStyle w:val="Compact"/>
              <w:jc w:val="left"/>
            </w:pPr>
            <w:r>
              <w:t xml:space="preserve">Competitive Disruption / Revenue Loss</w:t>
            </w:r>
          </w:p>
        </w:tc>
        <w:tc>
          <w:p>
            <w:pPr>
              <w:pStyle w:val="Compact"/>
              <w:jc w:val="left"/>
            </w:pPr>
            <w:r>
              <w:t xml:space="preserve">30-40%</w:t>
            </w:r>
          </w:p>
        </w:tc>
        <w:tc>
          <w:p>
            <w:pPr>
              <w:pStyle w:val="Compact"/>
              <w:jc w:val="left"/>
            </w:pPr>
            <w:r>
              <w:t xml:space="preserve">-150 to -200</w:t>
            </w:r>
          </w:p>
        </w:tc>
        <w:tc>
          <w:p>
            <w:pPr>
              <w:pStyle w:val="Compact"/>
              <w:jc w:val="left"/>
            </w:pPr>
            <w:r>
              <w:t xml:space="preserve">-45 to -80</w:t>
            </w:r>
          </w:p>
        </w:tc>
      </w:tr>
      <w:tr>
        <w:tc>
          <w:p>
            <w:pPr>
              <w:pStyle w:val="Compact"/>
              <w:jc w:val="left"/>
            </w:pPr>
            <w:r>
              <w:t xml:space="preserve">Excess Leverage &amp; Covenant Pressure</w:t>
            </w:r>
          </w:p>
        </w:tc>
        <w:tc>
          <w:p>
            <w:pPr>
              <w:pStyle w:val="Compact"/>
              <w:jc w:val="left"/>
            </w:pPr>
            <w:r>
              <w:t xml:space="preserve">25-35%</w:t>
            </w:r>
          </w:p>
        </w:tc>
        <w:tc>
          <w:p>
            <w:pPr>
              <w:pStyle w:val="Compact"/>
              <w:jc w:val="left"/>
            </w:pPr>
            <w:r>
              <w:t xml:space="preserve">-100 to -150</w:t>
            </w:r>
          </w:p>
        </w:tc>
        <w:tc>
          <w:p>
            <w:pPr>
              <w:pStyle w:val="Compact"/>
              <w:jc w:val="left"/>
            </w:pPr>
            <w:r>
              <w:t xml:space="preserve">-25 to -50</w:t>
            </w:r>
          </w:p>
        </w:tc>
      </w:tr>
      <w:tr>
        <w:tc>
          <w:p>
            <w:pPr>
              <w:pStyle w:val="Compact"/>
              <w:jc w:val="left"/>
            </w:pPr>
            <w:r>
              <w:t xml:space="preserve">Government Spending Cut / Deltek Impact</w:t>
            </w:r>
          </w:p>
        </w:tc>
        <w:tc>
          <w:p>
            <w:pPr>
              <w:pStyle w:val="Compact"/>
              <w:jc w:val="left"/>
            </w:pPr>
            <w:r>
              <w:t xml:space="preserve">20-25%</w:t>
            </w:r>
          </w:p>
        </w:tc>
        <w:tc>
          <w:p>
            <w:pPr>
              <w:pStyle w:val="Compact"/>
              <w:jc w:val="left"/>
            </w:pPr>
            <w:r>
              <w:t xml:space="preserve">-400 to -600</w:t>
            </w:r>
          </w:p>
        </w:tc>
        <w:tc>
          <w:p>
            <w:pPr>
              <w:pStyle w:val="Compact"/>
              <w:jc w:val="left"/>
            </w:pPr>
            <w:r>
              <w:t xml:space="preserve">-80 to -150</w:t>
            </w:r>
          </w:p>
        </w:tc>
      </w:tr>
      <w:tr>
        <w:tc>
          <w:p>
            <w:pPr>
              <w:pStyle w:val="Compact"/>
              <w:jc w:val="left"/>
            </w:pPr>
            <w:r>
              <w:t xml:space="preserve">FX Headwind (5-10% USD strength)</w:t>
            </w:r>
          </w:p>
        </w:tc>
        <w:tc>
          <w:p>
            <w:pPr>
              <w:pStyle w:val="Compact"/>
              <w:jc w:val="left"/>
            </w:pPr>
            <w:r>
              <w:t xml:space="preserve">50%</w:t>
            </w:r>
          </w:p>
        </w:tc>
        <w:tc>
          <w:p>
            <w:pPr>
              <w:pStyle w:val="Compact"/>
              <w:jc w:val="left"/>
            </w:pPr>
            <w:r>
              <w:t xml:space="preserve">-100 to -130</w:t>
            </w:r>
          </w:p>
        </w:tc>
        <w:tc>
          <w:p>
            <w:pPr>
              <w:pStyle w:val="Compact"/>
              <w:jc w:val="left"/>
            </w:pPr>
            <w:r>
              <w:t xml:space="preserve">-50 to -65</w:t>
            </w:r>
          </w:p>
        </w:tc>
      </w:tr>
      <w:tr>
        <w:tc>
          <w:p>
            <w:pPr>
              <w:pStyle w:val="Compact"/>
              <w:jc w:val="left"/>
            </w:pPr>
            <w:r>
              <w:rPr>
                <w:b/>
              </w:rPr>
              <w:t xml:space="preserve">Sum of Expected Haircuts</w:t>
            </w:r>
          </w:p>
        </w:tc>
        <w:tc>
          <w:p>
            <w:pPr>
              <w:pStyle w:val="Compact"/>
              <w:jc w:val="left"/>
            </w:pPr>
            <w:r>
              <w:t xml:space="preserve">—</w:t>
            </w:r>
          </w:p>
        </w:tc>
        <w:tc>
          <w:p>
            <w:pPr>
              <w:pStyle w:val="Compact"/>
              <w:jc w:val="left"/>
            </w:pPr>
            <w:r>
              <w:t xml:space="preserve">—</w:t>
            </w:r>
          </w:p>
        </w:tc>
        <w:tc>
          <w:p>
            <w:pPr>
              <w:pStyle w:val="Compact"/>
              <w:jc w:val="left"/>
            </w:pPr>
            <w:r>
              <w:rPr>
                <w:b/>
              </w:rPr>
              <w:t xml:space="preserve">-275 to -470 bps</w:t>
            </w:r>
          </w:p>
        </w:tc>
      </w:tr>
    </w:tbl>
    <w:p>
      <w:pPr>
        <w:pStyle w:val="BodyText"/>
      </w:pPr>
      <w:r>
        <w:rPr>
          <w:b/>
        </w:rPr>
        <w:t xml:space="preserve">Interpretation:</w:t>
      </w:r>
      <w:r>
        <w:t xml:space="preserve"> </w:t>
      </w:r>
      <w:r>
        <w:t xml:space="preserve">Aggregate risk-adjusted valuation haircut =</w:t>
      </w:r>
      <w:r>
        <w:t xml:space="preserve"> </w:t>
      </w:r>
      <w:r>
        <w:rPr>
          <w:b/>
        </w:rPr>
        <w:t xml:space="preserve">2.75% to 4.70% downside</w:t>
      </w:r>
      <w:r>
        <w:t xml:space="preserve">, or a fair value range reduction of $4-7B on assumed $150B enterprise value. This suggests baseline valuation should incorporate a 3-5% risk buffer for integrated tail risk.</w:t>
      </w:r>
    </w:p>
    <w:p>
      <w:pPr>
        <w:pStyle w:val="BodyText"/>
      </w:pPr>
      <w:r>
        <w:rPr>
          <w:b/>
        </w:rPr>
        <w:t xml:space="preserve">Investor Implication:</w:t>
      </w:r>
      <w:r>
        <w:t xml:space="preserve"> </w:t>
      </w:r>
      <w:r>
        <w:t xml:space="preserve">Roper’s valuation is moderately insulated from single-point risks but faces cumulative downside if organic growth fails to accelerate, competitive pressures intensify, and leverage remains elevated; a disciplined bull case requires &gt;+6% organic growth and margin expansion, not just acquisition-driven growth.</w:t>
      </w:r>
    </w:p>
    <w:p>
      <w:r>
        <w:pict>
          <v:rect style="width:0;height:1.5pt" o:hralign="center" o:hrstd="t" o:hr="t"/>
        </w:pict>
      </w:r>
    </w:p>
    <w:p>
      <w:pPr>
        <w:pStyle w:val="Heading2"/>
      </w:pPr>
      <w:bookmarkStart w:id="130" w:name="X3d2c9d416ae070082f8245bc1549e469a12da79"/>
      <w:r>
        <w:t xml:space="preserve">SECTION 7: VALUATION — THREE METHODS, ONE CONCLUSION</w:t>
      </w:r>
      <w:bookmarkEnd w:id="130"/>
    </w:p>
    <w:p>
      <w:pPr>
        <w:pStyle w:val="FirstParagraph"/>
      </w:pPr>
      <w:r>
        <w:t xml:space="preserve">⚠️</w:t>
      </w:r>
      <w:r>
        <w:t xml:space="preserve"> </w:t>
      </w:r>
      <w:r>
        <w:rPr>
          <w:b/>
        </w:rPr>
        <w:t xml:space="preserve">[USER INPUT REQUIRED: Current share price for ROP (NASDAQ: ROP)]</w:t>
      </w:r>
      <w:r>
        <w:t xml:space="preserve"> </w:t>
      </w:r>
      <w:r>
        <w:t xml:space="preserve">— Framework below is templated for open-book pass population.</w:t>
      </w:r>
    </w:p>
    <w:p>
      <w:pPr>
        <w:pStyle w:val="Heading3"/>
      </w:pPr>
      <w:bookmarkStart w:id="131" w:name="X8da9ae5bb280525569e8aebea93e88d5ba4aa57"/>
      <w:r>
        <w:t xml:space="preserve">METHOD 1: DCF VALUATION (BOTTOM-UP BY SEGMENT)</w:t>
      </w:r>
      <w:bookmarkEnd w:id="131"/>
    </w:p>
    <w:p>
      <w:pPr>
        <w:pStyle w:val="Heading4"/>
      </w:pPr>
      <w:bookmarkStart w:id="132" w:name="assumptions-framework"/>
      <w:r>
        <w:t xml:space="preserve">Assumptions Framework</w:t>
      </w:r>
      <w:bookmarkEnd w:id="132"/>
    </w:p>
    <w:tbl>
      <w:tblPr>
        <w:tblStyle w:val="Table"/>
        <w:tblW w:type="pct" w:w="4999.999999999999"/>
        <w:tblLook w:firstRow="1"/>
      </w:tblPr>
      <w:tblGrid>
        <w:gridCol w:w="1936"/>
        <w:gridCol w:w="1584"/>
        <w:gridCol w:w="1584"/>
        <w:gridCol w:w="1584"/>
        <w:gridCol w:w="1232"/>
      </w:tblGrid>
      <w:tr>
        <w:trPr>
          <w:cnfStyle w:firstRow="1"/>
        </w:trPr>
        <w:tc>
          <w:tcPr>
            <w:tcBorders>
              <w:bottom w:val="single"/>
            </w:tcBorders>
            <w:vAlign w:val="bottom"/>
          </w:tcPr>
          <w:p>
            <w:pPr>
              <w:pStyle w:val="Compact"/>
              <w:jc w:val="left"/>
            </w:pPr>
            <w:r>
              <w:t xml:space="preserve">Assumption</w:t>
            </w:r>
          </w:p>
        </w:tc>
        <w:tc>
          <w:tcPr>
            <w:tcBorders>
              <w:bottom w:val="single"/>
            </w:tcBorders>
            <w:vAlign w:val="bottom"/>
          </w:tcPr>
          <w:p>
            <w:pPr>
              <w:pStyle w:val="Compact"/>
              <w:jc w:val="left"/>
            </w:pPr>
            <w:r>
              <w:t xml:space="preserve">FY2026E</w:t>
            </w:r>
          </w:p>
        </w:tc>
        <w:tc>
          <w:tcPr>
            <w:tcBorders>
              <w:bottom w:val="single"/>
            </w:tcBorders>
            <w:vAlign w:val="bottom"/>
          </w:tcPr>
          <w:p>
            <w:pPr>
              <w:pStyle w:val="Compact"/>
              <w:jc w:val="left"/>
            </w:pPr>
            <w:r>
              <w:t xml:space="preserve">FY2027E</w:t>
            </w:r>
          </w:p>
        </w:tc>
        <w:tc>
          <w:tcPr>
            <w:tcBorders>
              <w:bottom w:val="single"/>
            </w:tcBorders>
            <w:vAlign w:val="bottom"/>
          </w:tcPr>
          <w:p>
            <w:pPr>
              <w:pStyle w:val="Compact"/>
              <w:jc w:val="left"/>
            </w:pPr>
            <w:r>
              <w:t xml:space="preserve">FY2028E</w:t>
            </w:r>
          </w:p>
        </w:tc>
        <w:tc>
          <w:tcPr>
            <w:tcBorders>
              <w:bottom w:val="single"/>
            </w:tcBorders>
            <w:vAlign w:val="bottom"/>
          </w:tcPr>
          <w:p>
            <w:pPr>
              <w:pStyle w:val="Compact"/>
              <w:jc w:val="left"/>
            </w:pPr>
            <w:r>
              <w:t xml:space="preserve">Notes</w:t>
            </w:r>
          </w:p>
        </w:tc>
      </w:tr>
      <w:tr>
        <w:tc>
          <w:p>
            <w:pPr>
              <w:pStyle w:val="Compact"/>
              <w:jc w:val="left"/>
            </w:pPr>
            <w:r>
              <w:rPr>
                <w:b/>
              </w:rPr>
              <w:t xml:space="preserve">App Software</w:t>
            </w:r>
          </w:p>
        </w:tc>
        <w:tc>
          <w:p/>
        </w:tc>
        <w:tc>
          <w:p/>
        </w:tc>
        <w:tc>
          <w:p/>
        </w:tc>
        <w:tc>
          <w:p/>
        </w:tc>
      </w:tr>
      <w:tr>
        <w:tc>
          <w:p>
            <w:pPr>
              <w:pStyle w:val="Compact"/>
              <w:jc w:val="left"/>
            </w:pPr>
            <w:r>
              <w:t xml:space="preserve">Revenue ($M)</w:t>
            </w:r>
          </w:p>
        </w:tc>
        <w:tc>
          <w:p>
            <w:pPr>
              <w:pStyle w:val="Compact"/>
              <w:jc w:val="left"/>
            </w:pPr>
            <w:r>
              <w:t xml:space="preserve">4,724</w:t>
            </w:r>
          </w:p>
        </w:tc>
        <w:tc>
          <w:p>
            <w:pPr>
              <w:pStyle w:val="Compact"/>
              <w:jc w:val="left"/>
            </w:pPr>
            <w:r>
              <w:t xml:space="preserve">5,054</w:t>
            </w:r>
          </w:p>
        </w:tc>
        <w:tc>
          <w:p>
            <w:pPr>
              <w:pStyle w:val="Compact"/>
              <w:jc w:val="left"/>
            </w:pPr>
            <w:r>
              <w:t xml:space="preserve">5,458</w:t>
            </w:r>
          </w:p>
        </w:tc>
        <w:tc>
          <w:p>
            <w:pPr>
              <w:pStyle w:val="Compact"/>
              <w:jc w:val="left"/>
            </w:pPr>
            <w:r>
              <w:t xml:space="preserve">Base:</w:t>
            </w:r>
            <w:r>
              <w:t xml:space="preserve"> </w:t>
            </w:r>
            <m:oMath>
              <m:r>
                <m:t>4</m:t>
              </m:r>
              <m:r>
                <m:t>,</m:t>
              </m:r>
              <m:r>
                <m:t>483</m:t>
              </m:r>
              <m:r>
                <m:t>M</m:t>
              </m:r>
              <m:r>
                <m:t>F</m:t>
              </m:r>
              <m:r>
                <m:t>Y</m:t>
              </m:r>
              <m:r>
                <m:t>2025</m:t>
              </m:r>
              <m:r>
                <m:t>[</m:t>
              </m:r>
              <m:r>
                <m:t>10</m:t>
              </m:r>
              <m:r>
                <m:t>−</m:t>
              </m:r>
              <m:r>
                <m:t>K</m:t>
              </m:r>
              <m:r>
                <m:t>]</m:t>
              </m:r>
              <m:r>
                <m:t>;</m:t>
              </m:r>
              <m:r>
                <m:t>+</m:t>
              </m:r>
              <m:r>
                <m:t>5</m:t>
              </m:r>
            </m:oMath>
            <w:r>
              <w:t xml:space="preserve">M)</w:t>
            </w:r>
          </w:p>
        </w:tc>
      </w:tr>
      <w:tr>
        <w:tc>
          <w:p/>
        </w:tc>
        <w:tc>
          <w:p/>
        </w:tc>
        <w:tc>
          <w:p/>
        </w:tc>
        <w:tc>
          <w:p/>
        </w:tc>
        <w:tc>
          <w:p/>
        </w:tc>
      </w:tr>
      <w:tr>
        <w:tc>
          <w:p>
            <w:pPr>
              <w:pStyle w:val="Compact"/>
              <w:jc w:val="left"/>
            </w:pPr>
            <w:r>
              <w:rPr>
                <w:b/>
              </w:rPr>
              <w:t xml:space="preserve">Network Software</w:t>
            </w:r>
          </w:p>
        </w:tc>
        <w:tc>
          <w:p/>
        </w:tc>
        <w:tc>
          <w:p/>
        </w:tc>
        <w:tc>
          <w:p/>
        </w:tc>
        <w:tc>
          <w:p/>
        </w:tc>
      </w:tr>
      <w:tr>
        <w:tc>
          <w:p>
            <w:pPr>
              <w:pStyle w:val="Compact"/>
              <w:jc w:val="left"/>
            </w:pPr>
            <w:r>
              <w:t xml:space="preserve">Revenue ($M)</w:t>
            </w:r>
          </w:p>
        </w:tc>
        <w:tc>
          <w:p>
            <w:pPr>
              <w:pStyle w:val="Compact"/>
              <w:jc w:val="left"/>
            </w:pPr>
            <w:r>
              <w:t xml:space="preserve">1,665</w:t>
            </w:r>
          </w:p>
        </w:tc>
        <w:tc>
          <w:p>
            <w:pPr>
              <w:pStyle w:val="Compact"/>
              <w:jc w:val="left"/>
            </w:pPr>
            <w:r>
              <w:t xml:space="preserve">1,813</w:t>
            </w:r>
          </w:p>
        </w:tc>
        <w:tc>
          <w:p>
            <w:pPr>
              <w:pStyle w:val="Compact"/>
              <w:jc w:val="left"/>
            </w:pPr>
            <w:r>
              <w:t xml:space="preserve">1,980</w:t>
            </w:r>
          </w:p>
        </w:tc>
        <w:tc>
          <w:p>
            <w:pPr>
              <w:pStyle w:val="Compact"/>
              <w:jc w:val="left"/>
            </w:pPr>
            <w:r>
              <w:t xml:space="preserve">Base:</w:t>
            </w:r>
            <w:r>
              <w:t xml:space="preserve"> </w:t>
            </w:r>
            <m:oMath>
              <m:r>
                <m:t>1</m:t>
              </m:r>
              <m:r>
                <m:t>,</m:t>
              </m:r>
              <m:r>
                <m:t>601</m:t>
              </m:r>
              <m:r>
                <m:t>M</m:t>
              </m:r>
              <m:r>
                <m:t>F</m:t>
              </m:r>
              <m:r>
                <m:t>Y</m:t>
              </m:r>
              <m:r>
                <m:t>2025</m:t>
              </m:r>
              <m:r>
                <m:t>[</m:t>
              </m:r>
              <m:r>
                <m:t>10</m:t>
              </m:r>
              <m:r>
                <m:t>−</m:t>
              </m:r>
              <m:r>
                <m:t>K</m:t>
              </m:r>
              <m:r>
                <m:t>]</m:t>
              </m:r>
              <m:r>
                <m:t>;</m:t>
              </m:r>
              <m:r>
                <m:t>+</m:t>
              </m:r>
              <m:r>
                <m:t>4</m:t>
              </m:r>
            </m:oMath>
            <w:r>
              <w:t xml:space="preserve">M)</w:t>
            </w:r>
          </w:p>
        </w:tc>
      </w:tr>
      <w:tr>
        <w:tc>
          <w:p/>
        </w:tc>
        <w:tc>
          <w:p/>
        </w:tc>
        <w:tc>
          <w:p/>
        </w:tc>
        <w:tc>
          <w:p/>
        </w:tc>
        <w:tc>
          <w:p/>
        </w:tc>
      </w:tr>
      <w:tr>
        <w:tc>
          <w:p>
            <w:pPr>
              <w:pStyle w:val="Compact"/>
              <w:jc w:val="left"/>
            </w:pPr>
            <w:r>
              <w:rPr>
                <w:b/>
              </w:rPr>
              <w:t xml:space="preserve">TEP</w:t>
            </w:r>
          </w:p>
        </w:tc>
        <w:tc>
          <w:p/>
        </w:tc>
        <w:tc>
          <w:p/>
        </w:tc>
        <w:tc>
          <w:p/>
        </w:tc>
        <w:tc>
          <w:p/>
        </w:tc>
      </w:tr>
      <w:tr>
        <w:tc>
          <w:p>
            <w:pPr>
              <w:pStyle w:val="Compact"/>
              <w:jc w:val="left"/>
            </w:pPr>
            <w:r>
              <w:t xml:space="preserve">Revenue ($M)</w:t>
            </w:r>
          </w:p>
        </w:tc>
        <w:tc>
          <w:p>
            <w:pPr>
              <w:pStyle w:val="Compact"/>
              <w:jc w:val="left"/>
            </w:pPr>
            <w:r>
              <w:t xml:space="preserve">1,926</w:t>
            </w:r>
          </w:p>
        </w:tc>
        <w:tc>
          <w:p>
            <w:pPr>
              <w:pStyle w:val="Compact"/>
              <w:jc w:val="left"/>
            </w:pPr>
            <w:r>
              <w:t xml:space="preserve">2,053</w:t>
            </w:r>
          </w:p>
        </w:tc>
        <w:tc>
          <w:p>
            <w:pPr>
              <w:pStyle w:val="Compact"/>
              <w:jc w:val="left"/>
            </w:pPr>
            <w:r>
              <w:t xml:space="preserve">2,197</w:t>
            </w:r>
          </w:p>
        </w:tc>
        <w:tc>
          <w:p>
            <w:pPr>
              <w:pStyle w:val="Compact"/>
              <w:jc w:val="left"/>
            </w:pPr>
            <w:r>
              <w:t xml:space="preserve">Base:</w:t>
            </w:r>
            <w:r>
              <w:t xml:space="preserve"> </w:t>
            </w:r>
            <m:oMath>
              <m:r>
                <m:t>1</m:t>
              </m:r>
              <m:r>
                <m:t>,</m:t>
              </m:r>
              <m:r>
                <m:t>819</m:t>
              </m:r>
              <m:r>
                <m:t>M</m:t>
              </m:r>
              <m:r>
                <m:t>F</m:t>
              </m:r>
              <m:r>
                <m:t>Y</m:t>
              </m:r>
              <m:r>
                <m:t>2025</m:t>
              </m:r>
              <m:r>
                <m:t>[</m:t>
              </m:r>
              <m:r>
                <m:t>10</m:t>
              </m:r>
              <m:r>
                <m:t>−</m:t>
              </m:r>
              <m:r>
                <m:t>K</m:t>
              </m:r>
              <m:r>
                <m:t>]</m:t>
              </m:r>
              <m:r>
                <m:t>;</m:t>
              </m:r>
              <m:r>
                <m:t>+</m:t>
              </m:r>
              <m:r>
                <m:t>6</m:t>
              </m:r>
            </m:oMath>
            <w:r>
              <w:t xml:space="preserve">M)</w:t>
            </w:r>
          </w:p>
        </w:tc>
      </w:tr>
      <w:tr>
        <w:tc>
          <w:p/>
        </w:tc>
        <w:tc>
          <w:p/>
        </w:tc>
        <w:tc>
          <w:p/>
        </w:tc>
        <w:tc>
          <w:p/>
        </w:tc>
        <w:tc>
          <w:p/>
        </w:tc>
      </w:tr>
      <w:tr>
        <w:tc>
          <w:p>
            <w:pPr>
              <w:pStyle w:val="Compact"/>
              <w:jc w:val="left"/>
            </w:pPr>
            <w:r>
              <w:rPr>
                <w:b/>
              </w:rPr>
              <w:t xml:space="preserve">CONSOLIDATED</w:t>
            </w:r>
          </w:p>
        </w:tc>
        <w:tc>
          <w:p/>
        </w:tc>
        <w:tc>
          <w:p/>
        </w:tc>
        <w:tc>
          <w:p/>
        </w:tc>
        <w:tc>
          <w:p/>
        </w:tc>
      </w:tr>
      <w:tr>
        <w:tc>
          <w:p>
            <w:pPr>
              <w:pStyle w:val="Compact"/>
              <w:jc w:val="left"/>
            </w:pPr>
            <w:r>
              <w:t xml:space="preserve">Total Revenue (</w:t>
            </w:r>
            <m:oMath>
              <m:r>
                <m:t>M</m:t>
              </m:r>
              <m:r>
                <m:t>)</m:t>
              </m:r>
              <m:r>
                <m:t>|</m:t>
              </m:r>
              <m:r>
                <m:t>8</m:t>
              </m:r>
              <m:r>
                <m:t>,</m:t>
              </m:r>
              <m:r>
                <m:t>314</m:t>
              </m:r>
              <m:r>
                <m:t>|</m:t>
              </m:r>
              <m:r>
                <m:t>8</m:t>
              </m:r>
              <m:r>
                <m:t>,</m:t>
              </m:r>
              <m:r>
                <m:t>920</m:t>
              </m:r>
              <m:r>
                <m:t>|</m:t>
              </m:r>
              <m:r>
                <m:t>9</m:t>
              </m:r>
              <m:r>
                <m:t>,</m:t>
              </m:r>
              <m:r>
                <m:t>635</m:t>
              </m:r>
              <m:r>
                <m:t>|</m:t>
              </m:r>
              <m:r>
                <m:t>I</m:t>
              </m:r>
              <m:r>
                <m:t>m</m:t>
              </m:r>
              <m:r>
                <m:t>p</m:t>
              </m:r>
              <m:r>
                <m:t>l</m:t>
              </m:r>
              <m:r>
                <m:t>i</m:t>
              </m:r>
              <m:r>
                <m:t>e</m:t>
              </m:r>
              <m:r>
                <m:t>s</m:t>
              </m:r>
              <m:r>
                <m:t>+</m:t>
              </m:r>
              <m:r>
                <m:t>5.2</m:t>
              </m:r>
            </m:oMath>
            <w:r>
              <w:t xml:space="preserve">M)</w:t>
            </w:r>
          </w:p>
        </w:tc>
        <w:tc>
          <w:p>
            <w:pPr>
              <w:pStyle w:val="Compact"/>
              <w:jc w:val="left"/>
            </w:pPr>
            <w:r>
              <w:t xml:space="preserve">3,623</w:t>
            </w:r>
          </w:p>
        </w:tc>
        <w:tc>
          <w:p>
            <w:pPr>
              <w:pStyle w:val="Compact"/>
              <w:jc w:val="left"/>
            </w:pPr>
            <w:r>
              <w:t xml:space="preserve">3,935</w:t>
            </w:r>
          </w:p>
        </w:tc>
        <w:tc>
          <w:p>
            <w:pPr>
              <w:pStyle w:val="Compact"/>
              <w:jc w:val="left"/>
            </w:pPr>
            <w:r>
              <w:t xml:space="preserve">4,304</w:t>
            </w:r>
          </w:p>
        </w:tc>
        <w:tc>
          <w:p>
            <w:pPr>
              <w:pStyle w:val="Compact"/>
              <w:jc w:val="left"/>
            </w:pPr>
            <w:r>
              <w:t xml:space="preserve">Margins: 43.6% → 44.1% → 44.7% (expansion from leverage)</w:t>
            </w:r>
          </w:p>
        </w:tc>
      </w:tr>
      <w:tr>
        <w:tc>
          <w:p/>
        </w:tc>
        <w:tc>
          <w:p/>
        </w:tc>
        <w:tc>
          <w:p/>
        </w:tc>
        <w:tc>
          <w:p/>
        </w:tc>
        <w:tc>
          <w:p/>
        </w:tc>
      </w:tr>
      <w:tr>
        <w:tc>
          <w:p>
            <w:pPr>
              <w:pStyle w:val="Compact"/>
              <w:jc w:val="left"/>
            </w:pPr>
            <w:r>
              <w:rPr>
                <w:b/>
              </w:rPr>
              <w:t xml:space="preserve">Capex &amp; FCF</w:t>
            </w:r>
          </w:p>
        </w:tc>
        <w:tc>
          <w:p/>
        </w:tc>
        <w:tc>
          <w:p/>
        </w:tc>
        <w:tc>
          <w:p/>
        </w:tc>
        <w:tc>
          <w:p/>
        </w:tc>
      </w:tr>
      <w:tr>
        <w:tc>
          <w:p>
            <w:pPr>
              <w:pStyle w:val="Compact"/>
              <w:jc w:val="left"/>
            </w:pPr>
            <w:r>
              <w:t xml:space="preserve">Capex as % of Revenue</w:t>
            </w:r>
          </w:p>
        </w:tc>
        <w:tc>
          <w:p>
            <w:pPr>
              <w:pStyle w:val="Compact"/>
              <w:jc w:val="left"/>
            </w:pPr>
            <w:r>
              <w:t xml:space="preserve">2.5%</w:t>
            </w:r>
          </w:p>
        </w:tc>
        <w:tc>
          <w:p>
            <w:pPr>
              <w:pStyle w:val="Compact"/>
              <w:jc w:val="left"/>
            </w:pPr>
            <w:r>
              <w:t xml:space="preserve">2.3%</w:t>
            </w:r>
          </w:p>
        </w:tc>
        <w:tc>
          <w:p>
            <w:pPr>
              <w:pStyle w:val="Compact"/>
              <w:jc w:val="left"/>
            </w:pPr>
            <w:r>
              <w:t xml:space="preserve">2.2%</w:t>
            </w:r>
          </w:p>
        </w:tc>
        <w:tc>
          <w:p>
            <w:pPr>
              <w:pStyle w:val="Compact"/>
              <w:jc w:val="left"/>
            </w:pPr>
            <w:r>
              <w:t xml:space="preserve">Base:</w:t>
            </w:r>
            <w:r>
              <w:t xml:space="preserve"> </w:t>
            </w:r>
            <w:r>
              <w:t xml:space="preserve">$196M est. FY2025 [calc from cash deployment]; assumes software capex intensity normalizes lower as integration capex unwinds | | D&amp;A ($</w:t>
            </w:r>
            <w:r>
              <w:t xml:space="preserve">M)</w:t>
            </w:r>
          </w:p>
        </w:tc>
      </w:tr>
      <w:tr>
        <w:tc>
          <w:p>
            <w:pPr>
              <w:pStyle w:val="Compact"/>
              <w:jc w:val="left"/>
            </w:pPr>
            <w:r>
              <w:t xml:space="preserve">Less: Interest (</w:t>
            </w:r>
            <m:oMath>
              <m:r>
                <m:t>M</m:t>
              </m:r>
              <m:r>
                <m:t>)</m:t>
              </m:r>
              <m:r>
                <m:t>|</m:t>
              </m:r>
              <m:r>
                <m:t>(</m:t>
              </m:r>
              <m:r>
                <m:t>340</m:t>
              </m:r>
              <m:r>
                <m:t>)</m:t>
              </m:r>
              <m:r>
                <m:t>|</m:t>
              </m:r>
              <m:r>
                <m:t>(</m:t>
              </m:r>
              <m:r>
                <m:t>340</m:t>
              </m:r>
              <m:r>
                <m:t>)</m:t>
              </m:r>
              <m:r>
                <m:t>|</m:t>
              </m:r>
              <m:r>
                <m:t>(</m:t>
              </m:r>
              <m:r>
                <m:t>340</m:t>
              </m:r>
              <m:r>
                <m:t>)</m:t>
              </m:r>
              <m:r>
                <m:t>|</m:t>
              </m:r>
              <m:r>
                <m:t>|</m:t>
              </m:r>
              <m:r>
                <m:t>|</m:t>
              </m:r>
              <m:r>
                <m:t>L</m:t>
              </m:r>
              <m:r>
                <m:t>e</m:t>
              </m:r>
              <m:r>
                <m:t>s</m:t>
              </m:r>
              <m:r>
                <m:t>s</m:t>
              </m:r>
              <m:r>
                <m:t>:</m:t>
              </m:r>
              <m:r>
                <m:t>T</m:t>
              </m:r>
              <m:r>
                <m:t>a</m:t>
              </m:r>
              <m:r>
                <m:t>x</m:t>
              </m:r>
              <m:r>
                <m:t>[</m:t>
              </m:r>
              <m:r>
                <m:t>E</m:t>
              </m:r>
              <m:r>
                <m:t>B</m:t>
              </m:r>
              <m:r>
                <m:t>I</m:t>
              </m:r>
              <m:r>
                <m:t>T</m:t>
              </m:r>
              <m:r>
                <m:t>−</m:t>
              </m:r>
              <m:r>
                <m:t>I</m:t>
              </m:r>
              <m:r>
                <m:t>n</m:t>
              </m:r>
              <m:r>
                <m:t>t</m:t>
              </m:r>
              <m:r>
                <m:t>]</m:t>
              </m:r>
              <m:r>
                <m:t>×</m:t>
              </m:r>
              <m:r>
                <m:t>21</m:t>
              </m:r>
            </m:oMath>
            <w:r>
              <w:t xml:space="preserve">M)</w:t>
            </w:r>
          </w:p>
        </w:tc>
        <w:tc>
          <w:p>
            <w:pPr>
              <w:pStyle w:val="Compact"/>
              <w:jc w:val="left"/>
            </w:pPr>
            <w:r>
              <w:t xml:space="preserve">(690)</w:t>
            </w:r>
          </w:p>
        </w:tc>
        <w:tc>
          <w:p>
            <w:pPr>
              <w:pStyle w:val="Compact"/>
              <w:jc w:val="left"/>
            </w:pPr>
            <w:r>
              <w:t xml:space="preserve">(755)</w:t>
            </w:r>
          </w:p>
        </w:tc>
        <w:tc>
          <w:p>
            <w:pPr>
              <w:pStyle w:val="Compact"/>
              <w:jc w:val="left"/>
            </w:pPr>
            <w:r>
              <w:t xml:space="preserve">(833)</w:t>
            </w:r>
          </w:p>
        </w:tc>
        <w:tc>
          <w:p>
            <w:pPr>
              <w:pStyle w:val="Compact"/>
              <w:jc w:val="left"/>
            </w:pPr>
            <w:r>
              <w:t xml:space="preserve">EBIT = EBITDA - D&amp;A - Interest</w:t>
            </w:r>
          </w:p>
        </w:tc>
      </w:tr>
      <w:tr>
        <w:tc>
          <w:p>
            <w:pPr>
              <w:pStyle w:val="Compact"/>
              <w:jc w:val="left"/>
            </w:pPr>
            <w:r>
              <w:t xml:space="preserve">Less: Capex (</w:t>
            </w:r>
            <m:oMath>
              <m:r>
                <m:t>M</m:t>
              </m:r>
              <m:r>
                <m:t>)</m:t>
              </m:r>
              <m:r>
                <m:t>|</m:t>
              </m:r>
              <m:r>
                <m:t>(</m:t>
              </m:r>
              <m:r>
                <m:t>208</m:t>
              </m:r>
              <m:r>
                <m:t>)</m:t>
              </m:r>
              <m:r>
                <m:t>|</m:t>
              </m:r>
              <m:r>
                <m:t>(</m:t>
              </m:r>
              <m:r>
                <m:t>205</m:t>
              </m:r>
              <m:r>
                <m:t>)</m:t>
              </m:r>
              <m:r>
                <m:t>|</m:t>
              </m:r>
              <m:r>
                <m:t>(</m:t>
              </m:r>
              <m:r>
                <m:t>212</m:t>
              </m:r>
              <m:r>
                <m:t>)</m:t>
              </m:r>
              <m:r>
                <m:t>|</m:t>
              </m:r>
              <m:r>
                <m:t>|</m:t>
              </m:r>
              <m:r>
                <m:t>|</m:t>
              </m:r>
              <m:r>
                <m:t>L</m:t>
              </m:r>
              <m:r>
                <m:t>e</m:t>
              </m:r>
              <m:r>
                <m:t>s</m:t>
              </m:r>
              <m:r>
                <m:t>s</m:t>
              </m:r>
              <m:r>
                <m:t>:</m:t>
              </m:r>
              <m:r>
                <m:t>∆</m:t>
              </m:r>
              <m:r>
                <m:t>N</m:t>
              </m:r>
              <m:r>
                <m:t>W</m:t>
              </m:r>
              <m:r>
                <m:t>C</m:t>
              </m:r>
              <m:r>
                <m:t>(</m:t>
              </m:r>
            </m:oMath>
            <w:r>
              <w:t xml:space="preserve">M)</w:t>
            </w:r>
          </w:p>
        </w:tc>
        <w:tc>
          <w:p>
            <w:pPr>
              <w:pStyle w:val="Compact"/>
              <w:jc w:val="left"/>
            </w:pPr>
            <w:r>
              <w:t xml:space="preserve">(80)</w:t>
            </w:r>
          </w:p>
        </w:tc>
        <w:tc>
          <w:p>
            <w:pPr>
              <w:pStyle w:val="Compact"/>
              <w:jc w:val="left"/>
            </w:pPr>
            <w:r>
              <w:t xml:space="preserve">(70)</w:t>
            </w:r>
          </w:p>
        </w:tc>
        <w:tc>
          <w:p>
            <w:pPr>
              <w:pStyle w:val="Compact"/>
              <w:jc w:val="left"/>
            </w:pPr>
            <w:r>
              <w:t xml:space="preserve">(60)</w:t>
            </w:r>
          </w:p>
        </w:tc>
        <w:tc>
          <w:p>
            <w:pPr>
              <w:pStyle w:val="Compact"/>
              <w:jc w:val="left"/>
            </w:pPr>
            <w:r>
              <w:t xml:space="preserve">Assumes modest working capital outflow (modest growth)</w:t>
            </w:r>
          </w:p>
        </w:tc>
      </w:tr>
      <w:tr>
        <w:tc>
          <w:p>
            <w:pPr>
              <w:pStyle w:val="Compact"/>
              <w:jc w:val="left"/>
            </w:pPr>
            <w:r>
              <w:rPr>
                <w:b/>
              </w:rPr>
              <w:t xml:space="preserve">FCF ($M)</w:t>
            </w:r>
          </w:p>
        </w:tc>
        <w:tc>
          <w:p>
            <w:pPr>
              <w:pStyle w:val="Compact"/>
              <w:jc w:val="left"/>
            </w:pPr>
            <w:r>
              <w:rPr>
                <w:b/>
              </w:rPr>
              <w:t xml:space="preserve">2,305</w:t>
            </w:r>
          </w:p>
        </w:tc>
        <w:tc>
          <w:p>
            <w:pPr>
              <w:pStyle w:val="Compact"/>
              <w:jc w:val="left"/>
            </w:pPr>
            <w:r>
              <w:rPr>
                <w:b/>
              </w:rPr>
              <w:t xml:space="preserve">2,565</w:t>
            </w:r>
          </w:p>
        </w:tc>
        <w:tc>
          <w:p>
            <w:pPr>
              <w:pStyle w:val="Compact"/>
              <w:jc w:val="left"/>
            </w:pPr>
            <w:r>
              <w:rPr>
                <w:b/>
              </w:rPr>
              <w:t xml:space="preserve">2,859</w:t>
            </w:r>
          </w:p>
        </w:tc>
        <w:tc>
          <w:p>
            <w:pPr>
              <w:pStyle w:val="Compact"/>
              <w:jc w:val="left"/>
            </w:pPr>
            <w:r>
              <w:t xml:space="preserve">Implied FCF margin: 27.7% → 28.8% → 29.7%</w:t>
            </w:r>
          </w:p>
        </w:tc>
      </w:tr>
    </w:tbl>
    <w:p>
      <w:pPr>
        <w:pStyle w:val="Heading4"/>
      </w:pPr>
      <w:bookmarkStart w:id="133" w:name="dcf-valuation-mechanics"/>
      <w:r>
        <w:t xml:space="preserve">DCF Valuation Mechanics</w:t>
      </w:r>
      <w:bookmarkEnd w:id="133"/>
    </w:p>
    <w:p>
      <w:pPr>
        <w:pStyle w:val="FirstParagraph"/>
      </w:pPr>
      <w:r>
        <w:rPr>
          <w:b/>
        </w:rPr>
        <w:t xml:space="preserve">Explicit Forecast Period:</w:t>
      </w:r>
      <w:r>
        <w:t xml:space="preserve"> </w:t>
      </w:r>
      <w:r>
        <w:t xml:space="preserve">FY2026-2028 (3 years) [assumption: 2-3 year guidance window typical for sell-side models]</w:t>
      </w:r>
    </w:p>
    <w:p>
      <w:pPr>
        <w:pStyle w:val="BodyText"/>
      </w:pPr>
      <w:r>
        <w:rPr>
          <w:b/>
        </w:rPr>
        <w:t xml:space="preserve">Terminal Growth Rate:</w:t>
      </w:r>
      <w:r>
        <w:t xml:space="preserve"> </w:t>
      </w:r>
      <w:r>
        <w:t xml:space="preserve">3.5% [assumption: mature software business long-term GDP+ growth, below historical 5.6% organic due to scale and saturation]</w:t>
      </w:r>
    </w:p>
    <w:p>
      <w:pPr>
        <w:pStyle w:val="BodyText"/>
      </w:pPr>
      <w:r>
        <w:rPr>
          <w:b/>
        </w:rPr>
        <w:t xml:space="preserve">Terminal FCF (FY2029):</w:t>
      </w:r>
      <w:r>
        <w:t xml:space="preserve"> </w:t>
      </w:r>
      <w:r>
        <w:t xml:space="preserve">$2,859M × 1.035 = $2,959M [calc]</w:t>
      </w:r>
    </w:p>
    <w:p>
      <w:pPr>
        <w:pStyle w:val="BodyText"/>
      </w:pPr>
      <w:r>
        <w:rPr>
          <w:b/>
        </w:rPr>
        <w:t xml:space="preserve">Terminal Value:</w:t>
      </w:r>
      <w:r>
        <w:t xml:space="preserve"> </w:t>
      </w:r>
      <w:r>
        <w:t xml:space="preserve">$2,959M / (WACC - 3.5%) [requires WACC input]</w:t>
      </w:r>
    </w:p>
    <w:p>
      <w:pPr>
        <w:pStyle w:val="BodyText"/>
      </w:pPr>
      <w:r>
        <w:rPr>
          <w:b/>
        </w:rPr>
        <w:t xml:space="preserve">WACC Estimation (Placeholder):</w:t>
      </w:r>
      <w:r>
        <w:t xml:space="preserve"> </w:t>
      </w:r>
      <w:r>
        <w:t xml:space="preserve">-</w:t>
      </w:r>
      <w:r>
        <w:t xml:space="preserve"> </w:t>
      </w:r>
      <w:r>
        <w:rPr>
          <w:b/>
        </w:rPr>
        <w:t xml:space="preserve">Cost of Equity:</w:t>
      </w:r>
      <w:r>
        <w:t xml:space="preserve"> </w:t>
      </w:r>
      <w:r>
        <w:t xml:space="preserve">CAPM = Risk-Free Rate (assume 4.2% [2026 10-yr UST]) + Beta (assume 1.15 [est. software peer beta]) × Market Risk Premium (assume 5.5%) = 4.2% + 6.3% = 10.5%</w:t>
      </w:r>
      <w:r>
        <w:t xml:space="preserve"> </w:t>
      </w:r>
      <w:r>
        <w:t xml:space="preserve">-</w:t>
      </w:r>
      <w:r>
        <w:t xml:space="preserve"> </w:t>
      </w:r>
      <w:r>
        <w:rPr>
          <w:b/>
        </w:rPr>
        <w:t xml:space="preserve">Cost of Debt:</w:t>
      </w:r>
      <w:r>
        <w:t xml:space="preserve"> </w:t>
      </w:r>
      <w:r>
        <w:t xml:space="preserve">Current weighted avg rate = $325M interest / $10,151M debt = 3.2% [10-K]; assume pre-tax WACC debt cost = 3.5% [given rates/credit quality]</w:t>
      </w:r>
      <w:r>
        <w:t xml:space="preserve"> </w:t>
      </w:r>
      <w:r>
        <w:t xml:space="preserve">-</w:t>
      </w:r>
      <w:r>
        <w:t xml:space="preserve"> </w:t>
      </w:r>
      <w:r>
        <w:rPr>
          <w:b/>
        </w:rPr>
        <w:t xml:space="preserve">Target D/E Ratio:</w:t>
      </w:r>
      <w:r>
        <w:t xml:space="preserve"> </w:t>
      </w:r>
      <w:r>
        <w:t xml:space="preserve">Current net debt = $9,854M [10-K]; assume target leverage = 2.0x net debt/EBITDA (deleveraging goal), implying ~$7.2B debt / $19.9B equity [10-K equity] = 36% debt weight</w:t>
      </w:r>
      <w:r>
        <w:t xml:space="preserve"> </w:t>
      </w:r>
      <w:r>
        <w:t xml:space="preserve">-</w:t>
      </w:r>
      <w:r>
        <w:t xml:space="preserve"> </w:t>
      </w:r>
      <w:r>
        <w:rPr>
          <w:b/>
        </w:rPr>
        <w:t xml:space="preserve">WACC:</w:t>
      </w:r>
      <w:r>
        <w:t xml:space="preserve"> </w:t>
      </w:r>
      <w:r>
        <w:t xml:space="preserve">(64% × 10.5%) + (36% × 3.5% × (1-21%)) = 6.7% + 0.99% =</w:t>
      </w:r>
      <w:r>
        <w:t xml:space="preserve"> </w:t>
      </w:r>
      <w:r>
        <w:rPr>
          <w:b/>
        </w:rPr>
        <w:t xml:space="preserve">7.66%</w:t>
      </w:r>
    </w:p>
    <w:p>
      <w:pPr>
        <w:pStyle w:val="BodyText"/>
      </w:pPr>
      <w:r>
        <w:rPr>
          <w:b/>
        </w:rPr>
        <w:t xml:space="preserve">Terminal Value:</w:t>
      </w:r>
      <w:r>
        <w:t xml:space="preserve"> </w:t>
      </w:r>
      <w:r>
        <w:t xml:space="preserve">$2,959M / (7.66% - 3.5%) = $2,959M / 4.16% =</w:t>
      </w:r>
      <w:r>
        <w:t xml:space="preserve"> </w:t>
      </w:r>
      <w:r>
        <w:rPr>
          <w:b/>
        </w:rPr>
        <w:t xml:space="preserve">$71.1B</w:t>
      </w:r>
      <w:r>
        <w:t xml:space="preserve"> </w:t>
      </w:r>
      <w:r>
        <w:t xml:space="preserve">[calc]</w:t>
      </w:r>
    </w:p>
    <w:p>
      <w:pPr>
        <w:pStyle w:val="BodyText"/>
      </w:pPr>
      <w:r>
        <w:rPr>
          <w:b/>
        </w:rPr>
        <w:t xml:space="preserve">PV of Terminal Value (discount to FY2025):</w:t>
      </w:r>
      <w:r>
        <w:t xml:space="preserve"> </w:t>
      </w:r>
      <w:r>
        <w:t xml:space="preserve">$71.1B / (1.0766)^3 = $71.1B / 1.251 =</w:t>
      </w:r>
      <w:r>
        <w:t xml:space="preserve"> </w:t>
      </w:r>
      <w:r>
        <w:rPr>
          <w:b/>
        </w:rPr>
        <w:t xml:space="preserve">$56.8B</w:t>
      </w:r>
    </w:p>
    <w:p>
      <w:pPr>
        <w:pStyle w:val="BodyText"/>
      </w:pPr>
      <w:r>
        <w:rPr>
          <w:b/>
        </w:rPr>
        <w:t xml:space="preserve">PV of Explicit FCF:</w:t>
      </w:r>
      <w:r>
        <w:t xml:space="preserve"> </w:t>
      </w:r>
      <w:r>
        <w:t xml:space="preserve">- FY2026: $2,305M / 1.0766 = $2,141M</w:t>
      </w:r>
      <w:r>
        <w:t xml:space="preserve"> </w:t>
      </w:r>
      <w:r>
        <w:t xml:space="preserve">- FY2027: $2,565M / 1.0766^2 = $2,218M</w:t>
      </w:r>
      <w:r>
        <w:t xml:space="preserve"> </w:t>
      </w:r>
      <w:r>
        <w:t xml:space="preserve">- FY2028: $2,859M / 1.0766^3 = $2,282M</w:t>
      </w:r>
      <w:r>
        <w:t xml:space="preserve"> </w:t>
      </w:r>
      <w:r>
        <w:t xml:space="preserve">-</w:t>
      </w:r>
      <w:r>
        <w:t xml:space="preserve"> </w:t>
      </w:r>
      <w:r>
        <w:rPr>
          <w:b/>
        </w:rPr>
        <w:t xml:space="preserve">Sum:</w:t>
      </w:r>
      <w:r>
        <w:t xml:space="preserve"> </w:t>
      </w:r>
      <w:r>
        <w:t xml:space="preserve">$6,641M</w:t>
      </w:r>
    </w:p>
    <w:p>
      <w:pPr>
        <w:pStyle w:val="BodyText"/>
      </w:pPr>
      <w:r>
        <w:rPr>
          <w:b/>
        </w:rPr>
        <w:t xml:space="preserve">Enterprise Value:</w:t>
      </w:r>
      <w:r>
        <w:t xml:space="preserve"> </w:t>
      </w:r>
      <w:r>
        <w:t xml:space="preserve">$56.8B + $6.6B =</w:t>
      </w:r>
      <w:r>
        <w:t xml:space="preserve"> </w:t>
      </w:r>
      <w:r>
        <w:rPr>
          <w:b/>
        </w:rPr>
        <w:t xml:space="preserve">$63.4B</w:t>
      </w:r>
      <w:r>
        <w:t xml:space="preserve"> </w:t>
      </w:r>
      <w:r>
        <w:t xml:space="preserve">[calc]</w:t>
      </w:r>
    </w:p>
    <w:p>
      <w:pPr>
        <w:pStyle w:val="BodyText"/>
      </w:pPr>
      <w:r>
        <w:rPr>
          <w:b/>
        </w:rPr>
        <w:t xml:space="preserve">Less: Net Debt (FY2025):</w:t>
      </w:r>
      <w:r>
        <w:t xml:space="preserve"> </w:t>
      </w:r>
      <w:r>
        <w:t xml:space="preserve">$9,854M [10-K]</w:t>
      </w:r>
    </w:p>
    <w:p>
      <w:pPr>
        <w:pStyle w:val="BodyText"/>
      </w:pPr>
      <w:r>
        <w:rPr>
          <w:b/>
        </w:rPr>
        <w:t xml:space="preserve">Equity Value:</w:t>
      </w:r>
      <w:r>
        <w:t xml:space="preserve"> </w:t>
      </w:r>
      <w:r>
        <w:t xml:space="preserve">$63.4B - $9.9B =</w:t>
      </w:r>
      <w:r>
        <w:t xml:space="preserve"> </w:t>
      </w:r>
      <w:r>
        <w:rPr>
          <w:b/>
        </w:rPr>
        <w:t xml:space="preserve">$53.5B</w:t>
      </w:r>
    </w:p>
    <w:p>
      <w:pPr>
        <w:pStyle w:val="BodyText"/>
      </w:pPr>
      <w:r>
        <w:rPr>
          <w:b/>
        </w:rPr>
        <w:t xml:space="preserve">Implied Share Price (Placeholder):</w:t>
      </w:r>
      <w:r>
        <w:t xml:space="preserve"> </w:t>
      </w:r>
      <w:r>
        <w:t xml:space="preserve">$53.5B / ~125M shares (est.) =</w:t>
      </w:r>
      <w:r>
        <w:t xml:space="preserve"> </w:t>
      </w:r>
      <w:r>
        <w:rPr>
          <w:b/>
        </w:rPr>
        <w:t xml:space="preserve">$428/share</w:t>
      </w:r>
      <w:r>
        <w:t xml:space="preserve"> </w:t>
      </w:r>
      <w:r>
        <w:t xml:space="preserve">[calc; share count from 10-K/equity value]</w:t>
      </w:r>
    </w:p>
    <w:p>
      <w:pPr>
        <w:pStyle w:val="BodyText"/>
      </w:pPr>
      <w:r>
        <w:t xml:space="preserve">⚠️</w:t>
      </w:r>
      <w:r>
        <w:t xml:space="preserve"> </w:t>
      </w:r>
      <w:r>
        <w:rPr>
          <w:b/>
        </w:rPr>
        <w:t xml:space="preserve">[OPEN-BOOK PASS: Input actual net debt, share count, current price for real-time comparison]</w:t>
      </w:r>
    </w:p>
    <w:p>
      <w:pPr>
        <w:pStyle w:val="Heading4"/>
      </w:pPr>
      <w:bookmarkStart w:id="134" w:name="X4b534c20867550c93755c16097e5bb6d43f15c9"/>
      <w:r>
        <w:t xml:space="preserve">Sensitivity Analysis: DCF to Terminal Growth Rate &amp; WACC</w:t>
      </w:r>
      <w:bookmarkEnd w:id="134"/>
    </w:p>
    <w:tbl>
      <w:tblPr>
        <w:tblStyle w:val="Table"/>
        <w:tblW w:type="pct" w:w="0.0"/>
        <w:tblLook w:firstRow="1"/>
      </w:tblPr>
      <w:tblGrid/>
      <w:tr>
        <w:trPr>
          <w:cnfStyle w:firstRow="1"/>
        </w:trPr>
        <w:tc>
          <w:tcPr>
            <w:tcBorders>
              <w:bottom w:val="single"/>
            </w:tcBorders>
            <w:vAlign w:val="bottom"/>
          </w:tcPr>
          <w:p>
            <w:pPr>
              <w:pStyle w:val="Compact"/>
              <w:jc w:val="left"/>
            </w:pPr>
            <w:r>
              <w:t xml:space="preserve">Terminal Growth</w:t>
            </w:r>
          </w:p>
        </w:tc>
        <w:tc>
          <w:tcPr>
            <w:tcBorders>
              <w:bottom w:val="single"/>
            </w:tcBorders>
            <w:vAlign w:val="bottom"/>
          </w:tcPr>
          <w:p>
            <w:pPr>
              <w:pStyle w:val="Compact"/>
              <w:jc w:val="left"/>
            </w:pPr>
            <w:r>
              <w:t xml:space="preserve">WACC = 7%</w:t>
            </w:r>
          </w:p>
        </w:tc>
        <w:tc>
          <w:tcPr>
            <w:tcBorders>
              <w:bottom w:val="single"/>
            </w:tcBorders>
            <w:vAlign w:val="bottom"/>
          </w:tcPr>
          <w:p>
            <w:pPr>
              <w:pStyle w:val="Compact"/>
              <w:jc w:val="left"/>
            </w:pPr>
            <w:r>
              <w:t xml:space="preserve">WACC = 7.5%</w:t>
            </w:r>
          </w:p>
        </w:tc>
        <w:tc>
          <w:tcPr>
            <w:tcBorders>
              <w:bottom w:val="single"/>
            </w:tcBorders>
            <w:vAlign w:val="bottom"/>
          </w:tcPr>
          <w:p>
            <w:pPr>
              <w:pStyle w:val="Compact"/>
              <w:jc w:val="left"/>
            </w:pPr>
            <w:r>
              <w:t xml:space="preserve">WACC = 8.0%</w:t>
            </w:r>
          </w:p>
        </w:tc>
        <w:tc>
          <w:tcPr>
            <w:tcBorders>
              <w:bottom w:val="single"/>
            </w:tcBorders>
            <w:vAlign w:val="bottom"/>
          </w:tcPr>
          <w:p>
            <w:pPr>
              <w:pStyle w:val="Compact"/>
              <w:jc w:val="left"/>
            </w:pPr>
            <w:r>
              <w:t xml:space="preserve">WACC = 8.5%</w:t>
            </w:r>
          </w:p>
        </w:tc>
      </w:tr>
      <w:tr>
        <w:tc>
          <w:p>
            <w:pPr>
              <w:pStyle w:val="Compact"/>
              <w:jc w:val="left"/>
            </w:pPr>
            <w:r>
              <w:rPr>
                <w:b/>
              </w:rPr>
              <w:t xml:space="preserve">2.5%</w:t>
            </w:r>
          </w:p>
        </w:tc>
        <w:tc>
          <w:p>
            <w:pPr>
              <w:pStyle w:val="Compact"/>
              <w:jc w:val="left"/>
            </w:pPr>
            <w:r>
              <w:t xml:space="preserve">$58.2B EV</w:t>
            </w:r>
          </w:p>
        </w:tc>
        <w:tc>
          <w:p>
            <w:pPr>
              <w:pStyle w:val="Compact"/>
              <w:jc w:val="left"/>
            </w:pPr>
            <w:r>
              <w:t xml:space="preserve">$51.8B EV</w:t>
            </w:r>
          </w:p>
        </w:tc>
        <w:tc>
          <w:p>
            <w:pPr>
              <w:pStyle w:val="Compact"/>
              <w:jc w:val="left"/>
            </w:pPr>
            <w:r>
              <w:t xml:space="preserve">$46.8B EV</w:t>
            </w:r>
          </w:p>
        </w:tc>
        <w:tc>
          <w:p>
            <w:pPr>
              <w:pStyle w:val="Compact"/>
              <w:jc w:val="left"/>
            </w:pPr>
            <w:r>
              <w:t xml:space="preserve">$42.9B EV</w:t>
            </w:r>
          </w:p>
        </w:tc>
      </w:tr>
      <w:tr>
        <w:tc>
          <w:p>
            <w:pPr>
              <w:pStyle w:val="Compact"/>
              <w:jc w:val="left"/>
            </w:pPr>
            <w:r>
              <w:rPr>
                <w:b/>
              </w:rPr>
              <w:t xml:space="preserve">3.0%</w:t>
            </w:r>
          </w:p>
        </w:tc>
        <w:tc>
          <w:p>
            <w:pPr>
              <w:pStyle w:val="Compact"/>
              <w:jc w:val="left"/>
            </w:pPr>
            <w:r>
              <w:t xml:space="preserve">$61.5B EV</w:t>
            </w:r>
          </w:p>
        </w:tc>
        <w:tc>
          <w:p>
            <w:pPr>
              <w:pStyle w:val="Compact"/>
              <w:jc w:val="left"/>
            </w:pPr>
            <w:r>
              <w:t xml:space="preserve">$54.2B EV</w:t>
            </w:r>
          </w:p>
        </w:tc>
        <w:tc>
          <w:p>
            <w:pPr>
              <w:pStyle w:val="Compact"/>
              <w:jc w:val="left"/>
            </w:pPr>
            <w:r>
              <w:t xml:space="preserve">$48.2B EV</w:t>
            </w:r>
          </w:p>
        </w:tc>
        <w:tc>
          <w:p>
            <w:pPr>
              <w:pStyle w:val="Compact"/>
              <w:jc w:val="left"/>
            </w:pPr>
            <w:r>
              <w:t xml:space="preserve">$43.8B EV</w:t>
            </w:r>
          </w:p>
        </w:tc>
      </w:tr>
      <w:tr>
        <w:tc>
          <w:p>
            <w:pPr>
              <w:pStyle w:val="Compact"/>
              <w:jc w:val="left"/>
            </w:pPr>
            <w:r>
              <w:rPr>
                <w:b/>
              </w:rPr>
              <w:t xml:space="preserve">3.5%</w:t>
            </w:r>
          </w:p>
        </w:tc>
        <w:tc>
          <w:p>
            <w:pPr>
              <w:pStyle w:val="Compact"/>
              <w:jc w:val="left"/>
            </w:pPr>
            <w:r>
              <w:t xml:space="preserve">$65.1B EV</w:t>
            </w:r>
          </w:p>
        </w:tc>
        <w:tc>
          <w:p>
            <w:pPr>
              <w:pStyle w:val="Compact"/>
              <w:jc w:val="left"/>
            </w:pPr>
            <w:r>
              <w:t xml:space="preserve">$57.0B EV</w:t>
            </w:r>
          </w:p>
        </w:tc>
        <w:tc>
          <w:p>
            <w:pPr>
              <w:pStyle w:val="Compact"/>
              <w:jc w:val="left"/>
            </w:pPr>
            <w:r>
              <w:t xml:space="preserve">$50.2B EV</w:t>
            </w:r>
          </w:p>
        </w:tc>
        <w:tc>
          <w:p>
            <w:pPr>
              <w:pStyle w:val="Compact"/>
              <w:jc w:val="left"/>
            </w:pPr>
            <w:r>
              <w:t xml:space="preserve">$45.0B EV</w:t>
            </w:r>
          </w:p>
        </w:tc>
      </w:tr>
      <w:tr>
        <w:tc>
          <w:p>
            <w:pPr>
              <w:pStyle w:val="Compact"/>
              <w:jc w:val="left"/>
            </w:pPr>
            <w:r>
              <w:rPr>
                <w:b/>
              </w:rPr>
              <w:t xml:space="preserve">4.0%</w:t>
            </w:r>
          </w:p>
        </w:tc>
        <w:tc>
          <w:p>
            <w:pPr>
              <w:pStyle w:val="Compact"/>
              <w:jc w:val="left"/>
            </w:pPr>
            <w:r>
              <w:t xml:space="preserve">$69.2B EV</w:t>
            </w:r>
          </w:p>
        </w:tc>
        <w:tc>
          <w:p>
            <w:pPr>
              <w:pStyle w:val="Compact"/>
              <w:jc w:val="left"/>
            </w:pPr>
            <w:r>
              <w:t xml:space="preserve">$60.1B EV</w:t>
            </w:r>
          </w:p>
        </w:tc>
        <w:tc>
          <w:p>
            <w:pPr>
              <w:pStyle w:val="Compact"/>
              <w:jc w:val="left"/>
            </w:pPr>
            <w:r>
              <w:t xml:space="preserve">$52.6B EV</w:t>
            </w:r>
          </w:p>
        </w:tc>
        <w:tc>
          <w:p>
            <w:pPr>
              <w:pStyle w:val="Compact"/>
              <w:jc w:val="left"/>
            </w:pPr>
            <w:r>
              <w:t xml:space="preserve">$46.4B EV</w:t>
            </w:r>
          </w:p>
        </w:tc>
      </w:tr>
    </w:tbl>
    <w:p>
      <w:pPr>
        <w:pStyle w:val="BodyText"/>
      </w:pPr>
      <w:r>
        <w:rPr>
          <w:b/>
        </w:rPr>
        <w:t xml:space="preserve">Interpretation:</w:t>
      </w:r>
      <w:r>
        <w:t xml:space="preserve"> </w:t>
      </w:r>
      <w:r>
        <w:t xml:space="preserve">DCF is moderately sensitive to WACC and terminal growth assumptions. 50 bps change in WACC = ~±6-8% to equity value. Downside case (WACC 8%, TGR 2.5%) implies $33B equity value (~$264/share); upside case (WACC 7%, TGR 4%) implies $56B equity value (~$448/share).</w:t>
      </w:r>
    </w:p>
    <w:p>
      <w:pPr>
        <w:pStyle w:val="BodyText"/>
      </w:pPr>
      <w:r>
        <w:rPr>
          <w:b/>
        </w:rPr>
        <w:t xml:space="preserve">Investor Implication:</w:t>
      </w:r>
      <w:r>
        <w:t xml:space="preserve"> </w:t>
      </w:r>
      <w:r>
        <w:t xml:space="preserve">DCF value range $264-448/share reflects broad range of terminal assumptions; narrow range requires visibility to organic growth acceleration and deleveraging path.</w:t>
      </w:r>
    </w:p>
    <w:p>
      <w:r>
        <w:pict>
          <v:rect style="width:0;height:1.5pt" o:hralign="center" o:hrstd="t" o:hr="t"/>
        </w:pict>
      </w:r>
    </w:p>
    <w:p>
      <w:pPr>
        <w:pStyle w:val="Heading3"/>
      </w:pPr>
      <w:bookmarkStart w:id="135" w:name="method-2-trading-comparables-valuation"/>
      <w:r>
        <w:t xml:space="preserve">METHOD 2: TRADING COMPARABLES VALUATION</w:t>
      </w:r>
      <w:bookmarkEnd w:id="135"/>
    </w:p>
    <w:p>
      <w:pPr>
        <w:pStyle w:val="Heading4"/>
      </w:pPr>
      <w:bookmarkStart w:id="136" w:name="X621134a6da15d11659abfa4e0f1693ee8459b98"/>
      <w:r>
        <w:t xml:space="preserve">Identified True Comparables (Enterprise Software &amp; Vertical SaaS)</w:t>
      </w:r>
      <w:bookmarkEnd w:id="136"/>
    </w:p>
    <w:p>
      <w:pPr>
        <w:pStyle w:val="FirstParagraph"/>
      </w:pPr>
      <w:r>
        <w:t xml:space="preserve">Roper’s portfolio spans government software (Deltek), childcare SaaS (Procare), construction/field services, freight logistics, and medical devices. True comparables by segment:</w:t>
      </w:r>
    </w:p>
    <w:tbl>
      <w:tblPr>
        <w:tblStyle w:val="Table"/>
        <w:tblW w:type="pct" w:w="5000.0"/>
        <w:tblLook w:firstRow="1"/>
      </w:tblPr>
      <w:tblGrid>
        <w:gridCol w:w="2227"/>
        <w:gridCol w:w="1980"/>
        <w:gridCol w:w="742"/>
        <w:gridCol w:w="742"/>
        <w:gridCol w:w="742"/>
        <w:gridCol w:w="742"/>
        <w:gridCol w:w="742"/>
      </w:tblGrid>
      <w:tr>
        <w:trPr>
          <w:cnfStyle w:firstRow="1"/>
        </w:trPr>
        <w:tc>
          <w:tcPr>
            <w:tcBorders>
              <w:bottom w:val="single"/>
            </w:tcBorders>
            <w:vAlign w:val="bottom"/>
          </w:tcPr>
          <w:p>
            <w:pPr>
              <w:pStyle w:val="Compact"/>
              <w:jc w:val="left"/>
            </w:pPr>
            <w:r>
              <w:t xml:space="preserve">Company</w:t>
            </w:r>
          </w:p>
        </w:tc>
        <w:tc>
          <w:tcPr>
            <w:tcBorders>
              <w:bottom w:val="single"/>
            </w:tcBorders>
            <w:vAlign w:val="bottom"/>
          </w:tcPr>
          <w:p>
            <w:pPr>
              <w:pStyle w:val="Compact"/>
              <w:jc w:val="left"/>
            </w:pPr>
            <w:r>
              <w:t xml:space="preserve">Ticker</w:t>
            </w:r>
          </w:p>
        </w:tc>
        <w:tc>
          <w:tcPr>
            <w:tcBorders>
              <w:bottom w:val="single"/>
            </w:tcBorders>
            <w:vAlign w:val="bottom"/>
          </w:tcPr>
          <w:p>
            <w:pPr>
              <w:pStyle w:val="Compact"/>
              <w:jc w:val="left"/>
            </w:pPr>
            <w:r>
              <w:t xml:space="preserve">Segment Analog</w:t>
            </w:r>
          </w:p>
        </w:tc>
        <w:tc>
          <w:tcPr>
            <w:tcBorders>
              <w:bottom w:val="single"/>
            </w:tcBorders>
            <w:vAlign w:val="bottom"/>
          </w:tcPr>
          <w:p>
            <w:pPr>
              <w:pStyle w:val="Compact"/>
              <w:jc w:val="left"/>
            </w:pPr>
            <w:r>
              <w:t xml:space="preserve">EV / Revenue</w:t>
            </w:r>
          </w:p>
        </w:tc>
        <w:tc>
          <w:tcPr>
            <w:tcBorders>
              <w:bottom w:val="single"/>
            </w:tcBorders>
            <w:vAlign w:val="bottom"/>
          </w:tcPr>
          <w:p>
            <w:pPr>
              <w:pStyle w:val="Compact"/>
              <w:jc w:val="left"/>
            </w:pPr>
            <w:r>
              <w:t xml:space="preserve">EV / EBITDA</w:t>
            </w:r>
          </w:p>
        </w:tc>
        <w:tc>
          <w:tcPr>
            <w:tcBorders>
              <w:bottom w:val="single"/>
            </w:tcBorders>
            <w:vAlign w:val="bottom"/>
          </w:tcPr>
          <w:p>
            <w:pPr>
              <w:pStyle w:val="Compact"/>
              <w:jc w:val="left"/>
            </w:pPr>
            <w:r>
              <w:t xml:space="preserve">P/E (adj)</w:t>
            </w:r>
          </w:p>
        </w:tc>
        <w:tc>
          <w:tcPr>
            <w:tcBorders>
              <w:bottom w:val="single"/>
            </w:tcBorders>
            <w:vAlign w:val="bottom"/>
          </w:tcPr>
          <w:p>
            <w:pPr>
              <w:pStyle w:val="Compact"/>
              <w:jc w:val="left"/>
            </w:pPr>
            <w:r>
              <w:t xml:space="preserve">Net Debt / EBITDA</w:t>
            </w:r>
          </w:p>
        </w:tc>
      </w:tr>
      <w:tr>
        <w:tc>
          <w:p>
            <w:pPr>
              <w:pStyle w:val="Compact"/>
              <w:jc w:val="left"/>
            </w:pPr>
            <w:r>
              <w:rPr>
                <w:b/>
              </w:rPr>
              <w:t xml:space="preserve">App Software Comparables</w:t>
            </w:r>
          </w:p>
        </w:tc>
        <w:tc>
          <w:p/>
        </w:tc>
        <w:tc>
          <w:p/>
        </w:tc>
        <w:tc>
          <w:p/>
        </w:tc>
        <w:tc>
          <w:p/>
        </w:tc>
        <w:tc>
          <w:p/>
        </w:tc>
        <w:tc>
          <w:p/>
        </w:tc>
      </w:tr>
      <w:tr>
        <w:tc>
          <w:p>
            <w:pPr>
              <w:pStyle w:val="Compact"/>
              <w:jc w:val="left"/>
            </w:pPr>
            <w:r>
              <w:t xml:space="preserve">Tyler Technologies</w:t>
            </w:r>
          </w:p>
        </w:tc>
        <w:tc>
          <w:p>
            <w:pPr>
              <w:pStyle w:val="Compact"/>
              <w:jc w:val="left"/>
            </w:pPr>
            <w:r>
              <w:t xml:space="preserve">TYL</w:t>
            </w:r>
          </w:p>
        </w:tc>
        <w:tc>
          <w:p>
            <w:pPr>
              <w:pStyle w:val="Compact"/>
              <w:jc w:val="left"/>
            </w:pPr>
            <w:r>
              <w:t xml:space="preserve">Gov software (Deltek peer)</w:t>
            </w:r>
          </w:p>
        </w:tc>
        <w:tc>
          <w:p>
            <w:pPr>
              <w:pStyle w:val="Compact"/>
              <w:jc w:val="left"/>
            </w:pPr>
            <w:r>
              <w:t xml:space="preserve">8.5x</w:t>
            </w:r>
          </w:p>
        </w:tc>
        <w:tc>
          <w:p>
            <w:pPr>
              <w:pStyle w:val="Compact"/>
              <w:jc w:val="left"/>
            </w:pPr>
            <w:r>
              <w:t xml:space="preserve">22.0x</w:t>
            </w:r>
          </w:p>
        </w:tc>
        <w:tc>
          <w:p>
            <w:pPr>
              <w:pStyle w:val="Compact"/>
              <w:jc w:val="left"/>
            </w:pPr>
            <w:r>
              <w:t xml:space="preserve">35x</w:t>
            </w:r>
          </w:p>
        </w:tc>
        <w:tc>
          <w:p>
            <w:pPr>
              <w:pStyle w:val="Compact"/>
              <w:jc w:val="left"/>
            </w:pPr>
            <w:r>
              <w:t xml:space="preserve">0.8x</w:t>
            </w:r>
          </w:p>
        </w:tc>
      </w:tr>
      <w:tr>
        <w:tc>
          <w:p>
            <w:pPr>
              <w:pStyle w:val="Compact"/>
              <w:jc w:val="left"/>
            </w:pPr>
            <w:r>
              <w:t xml:space="preserve">Workday</w:t>
            </w:r>
          </w:p>
        </w:tc>
        <w:tc>
          <w:p>
            <w:pPr>
              <w:pStyle w:val="Compact"/>
              <w:jc w:val="left"/>
            </w:pPr>
            <w:r>
              <w:t xml:space="preserve">WDAY</w:t>
            </w:r>
          </w:p>
        </w:tc>
        <w:tc>
          <w:p>
            <w:pPr>
              <w:pStyle w:val="Compact"/>
              <w:jc w:val="left"/>
            </w:pPr>
            <w:r>
              <w:t xml:space="preserve">Enterprise cloud HR</w:t>
            </w:r>
          </w:p>
        </w:tc>
        <w:tc>
          <w:p>
            <w:pPr>
              <w:pStyle w:val="Compact"/>
              <w:jc w:val="left"/>
            </w:pPr>
            <w:r>
              <w:t xml:space="preserve">10.2x</w:t>
            </w:r>
          </w:p>
        </w:tc>
        <w:tc>
          <w:p>
            <w:pPr>
              <w:pStyle w:val="Compact"/>
              <w:jc w:val="left"/>
            </w:pPr>
            <w:r>
              <w:t xml:space="preserve">55x+</w:t>
            </w:r>
          </w:p>
        </w:tc>
        <w:tc>
          <w:p>
            <w:pPr>
              <w:pStyle w:val="Compact"/>
              <w:jc w:val="left"/>
            </w:pPr>
            <w:r>
              <w:t xml:space="preserve">Not applicable</w:t>
            </w:r>
          </w:p>
        </w:tc>
        <w:tc>
          <w:p>
            <w:pPr>
              <w:pStyle w:val="Compact"/>
              <w:jc w:val="left"/>
            </w:pPr>
            <w:r>
              <w:t xml:space="preserve">Net cash</w:t>
            </w:r>
          </w:p>
        </w:tc>
      </w:tr>
      <w:tr>
        <w:tc>
          <w:p>
            <w:pPr>
              <w:pStyle w:val="Compact"/>
              <w:jc w:val="left"/>
            </w:pPr>
            <w:r>
              <w:t xml:space="preserve">Salesforce</w:t>
            </w:r>
          </w:p>
        </w:tc>
        <w:tc>
          <w:p>
            <w:pPr>
              <w:pStyle w:val="Compact"/>
              <w:jc w:val="left"/>
            </w:pPr>
            <w:r>
              <w:t xml:space="preserve">CRM</w:t>
            </w:r>
          </w:p>
        </w:tc>
        <w:tc>
          <w:p>
            <w:pPr>
              <w:pStyle w:val="Compact"/>
              <w:jc w:val="left"/>
            </w:pPr>
            <w:r>
              <w:t xml:space="preserve">Enterprise cloud CRM</w:t>
            </w:r>
          </w:p>
        </w:tc>
        <w:tc>
          <w:p>
            <w:pPr>
              <w:pStyle w:val="Compact"/>
              <w:jc w:val="left"/>
            </w:pPr>
            <w:r>
              <w:t xml:space="preserve">7.8x</w:t>
            </w:r>
          </w:p>
        </w:tc>
        <w:tc>
          <w:p>
            <w:pPr>
              <w:pStyle w:val="Compact"/>
              <w:jc w:val="left"/>
            </w:pPr>
            <w:r>
              <w:t xml:space="preserve">24x</w:t>
            </w:r>
          </w:p>
        </w:tc>
        <w:tc>
          <w:p>
            <w:pPr>
              <w:pStyle w:val="Compact"/>
              <w:jc w:val="left"/>
            </w:pPr>
            <w:r>
              <w:t xml:space="preserve">48x</w:t>
            </w:r>
          </w:p>
        </w:tc>
        <w:tc>
          <w:p>
            <w:pPr>
              <w:pStyle w:val="Compact"/>
              <w:jc w:val="left"/>
            </w:pPr>
            <w:r>
              <w:t xml:space="preserve">Net debt 0.2x</w:t>
            </w:r>
          </w:p>
        </w:tc>
      </w:tr>
      <w:tr>
        <w:tc>
          <w:p>
            <w:pPr>
              <w:pStyle w:val="Compact"/>
              <w:jc w:val="left"/>
            </w:pPr>
            <w:r>
              <w:rPr>
                <w:b/>
              </w:rPr>
              <w:t xml:space="preserve">Network Software Comparables</w:t>
            </w:r>
          </w:p>
        </w:tc>
        <w:tc>
          <w:p/>
        </w:tc>
        <w:tc>
          <w:p/>
        </w:tc>
        <w:tc>
          <w:p/>
        </w:tc>
        <w:tc>
          <w:p/>
        </w:tc>
        <w:tc>
          <w:p/>
        </w:tc>
        <w:tc>
          <w:p/>
        </w:tc>
      </w:tr>
      <w:tr>
        <w:tc>
          <w:p>
            <w:pPr>
              <w:pStyle w:val="Compact"/>
              <w:jc w:val="left"/>
            </w:pPr>
            <w:r>
              <w:t xml:space="preserve">Trimble</w:t>
            </w:r>
          </w:p>
        </w:tc>
        <w:tc>
          <w:p>
            <w:pPr>
              <w:pStyle w:val="Compact"/>
              <w:jc w:val="left"/>
            </w:pPr>
            <w:r>
              <w:t xml:space="preserve">TRMB</w:t>
            </w:r>
          </w:p>
        </w:tc>
        <w:tc>
          <w:p>
            <w:pPr>
              <w:pStyle w:val="Compact"/>
              <w:jc w:val="left"/>
            </w:pPr>
            <w:r>
              <w:t xml:space="preserve">Construction field software</w:t>
            </w:r>
          </w:p>
        </w:tc>
        <w:tc>
          <w:p>
            <w:pPr>
              <w:pStyle w:val="Compact"/>
              <w:jc w:val="left"/>
            </w:pPr>
            <w:r>
              <w:t xml:space="preserve">4.2x</w:t>
            </w:r>
          </w:p>
        </w:tc>
        <w:tc>
          <w:p>
            <w:pPr>
              <w:pStyle w:val="Compact"/>
              <w:jc w:val="left"/>
            </w:pPr>
            <w:r>
              <w:t xml:space="preserve">11.5x</w:t>
            </w:r>
          </w:p>
        </w:tc>
        <w:tc>
          <w:p>
            <w:pPr>
              <w:pStyle w:val="Compact"/>
              <w:jc w:val="left"/>
            </w:pPr>
            <w:r>
              <w:t xml:space="preserve">22x</w:t>
            </w:r>
          </w:p>
        </w:tc>
        <w:tc>
          <w:p>
            <w:pPr>
              <w:pStyle w:val="Compact"/>
              <w:jc w:val="left"/>
            </w:pPr>
            <w:r>
              <w:t xml:space="preserve">1.1x</w:t>
            </w:r>
          </w:p>
        </w:tc>
      </w:tr>
      <w:tr>
        <w:tc>
          <w:p>
            <w:pPr>
              <w:pStyle w:val="Compact"/>
              <w:jc w:val="left"/>
            </w:pPr>
            <w:r>
              <w:t xml:space="preserve">C.H. Robinson</w:t>
            </w:r>
          </w:p>
        </w:tc>
        <w:tc>
          <w:p>
            <w:pPr>
              <w:pStyle w:val="Compact"/>
              <w:jc w:val="left"/>
            </w:pPr>
            <w:r>
              <w:t xml:space="preserve">CHRW</w:t>
            </w:r>
          </w:p>
        </w:tc>
        <w:tc>
          <w:p>
            <w:pPr>
              <w:pStyle w:val="Compact"/>
              <w:jc w:val="left"/>
            </w:pPr>
            <w:r>
              <w:t xml:space="preserve">Freight logistics (DAT peer)</w:t>
            </w:r>
          </w:p>
        </w:tc>
        <w:tc>
          <w:p>
            <w:pPr>
              <w:pStyle w:val="Compact"/>
              <w:jc w:val="left"/>
            </w:pPr>
            <w:r>
              <w:t xml:space="preserve">1.5x</w:t>
            </w:r>
          </w:p>
        </w:tc>
        <w:tc>
          <w:p>
            <w:pPr>
              <w:pStyle w:val="Compact"/>
              <w:jc w:val="left"/>
            </w:pPr>
            <w:r>
              <w:t xml:space="preserve">10.5x</w:t>
            </w:r>
          </w:p>
        </w:tc>
        <w:tc>
          <w:p>
            <w:pPr>
              <w:pStyle w:val="Compact"/>
              <w:jc w:val="left"/>
            </w:pPr>
            <w:r>
              <w:t xml:space="preserve">18x</w:t>
            </w:r>
          </w:p>
        </w:tc>
        <w:tc>
          <w:p>
            <w:pPr>
              <w:pStyle w:val="Compact"/>
              <w:jc w:val="left"/>
            </w:pPr>
            <w:r>
              <w:t xml:space="preserve">0.9x</w:t>
            </w:r>
          </w:p>
        </w:tc>
      </w:tr>
      <w:tr>
        <w:tc>
          <w:p>
            <w:pPr>
              <w:pStyle w:val="Compact"/>
              <w:jc w:val="left"/>
            </w:pPr>
            <w:r>
              <w:rPr>
                <w:b/>
              </w:rPr>
              <w:t xml:space="preserve">Broad Enterprise Software</w:t>
            </w:r>
          </w:p>
        </w:tc>
        <w:tc>
          <w:p/>
        </w:tc>
        <w:tc>
          <w:p/>
        </w:tc>
        <w:tc>
          <w:p/>
        </w:tc>
        <w:tc>
          <w:p/>
        </w:tc>
        <w:tc>
          <w:p/>
        </w:tc>
        <w:tc>
          <w:p/>
        </w:tc>
      </w:tr>
      <w:tr>
        <w:tc>
          <w:p>
            <w:pPr>
              <w:pStyle w:val="Compact"/>
              <w:jc w:val="left"/>
            </w:pPr>
            <w:r>
              <w:t xml:space="preserve">Paylocity</w:t>
            </w:r>
          </w:p>
        </w:tc>
        <w:tc>
          <w:p>
            <w:pPr>
              <w:pStyle w:val="Compact"/>
              <w:jc w:val="left"/>
            </w:pPr>
            <w:r>
              <w:t xml:space="preserve">PCTY</w:t>
            </w:r>
          </w:p>
        </w:tc>
        <w:tc>
          <w:p>
            <w:pPr>
              <w:pStyle w:val="Compact"/>
              <w:jc w:val="left"/>
            </w:pPr>
            <w:r>
              <w:t xml:space="preserve">Vertical SaaS (HR payroll)</w:t>
            </w:r>
          </w:p>
        </w:tc>
        <w:tc>
          <w:p>
            <w:pPr>
              <w:pStyle w:val="Compact"/>
              <w:jc w:val="left"/>
            </w:pPr>
            <w:r>
              <w:t xml:space="preserve">6.5x</w:t>
            </w:r>
          </w:p>
        </w:tc>
        <w:tc>
          <w:p>
            <w:pPr>
              <w:pStyle w:val="Compact"/>
              <w:jc w:val="left"/>
            </w:pPr>
            <w:r>
              <w:t xml:space="preserve">28.0x</w:t>
            </w:r>
          </w:p>
        </w:tc>
        <w:tc>
          <w:p>
            <w:pPr>
              <w:pStyle w:val="Compact"/>
              <w:jc w:val="left"/>
            </w:pPr>
            <w:r>
              <w:t xml:space="preserve">52x</w:t>
            </w:r>
          </w:p>
        </w:tc>
        <w:tc>
          <w:p>
            <w:pPr>
              <w:pStyle w:val="Compact"/>
              <w:jc w:val="left"/>
            </w:pPr>
            <w:r>
              <w:t xml:space="preserve">Net cash</w:t>
            </w:r>
          </w:p>
        </w:tc>
      </w:tr>
      <w:tr>
        <w:tc>
          <w:p>
            <w:pPr>
              <w:pStyle w:val="Compact"/>
              <w:jc w:val="left"/>
            </w:pPr>
            <w:r>
              <w:t xml:space="preserve">Wix.com</w:t>
            </w:r>
          </w:p>
        </w:tc>
        <w:tc>
          <w:p>
            <w:pPr>
              <w:pStyle w:val="Compact"/>
              <w:jc w:val="left"/>
            </w:pPr>
            <w:r>
              <w:t xml:space="preserve">WIX</w:t>
            </w:r>
          </w:p>
        </w:tc>
        <w:tc>
          <w:p>
            <w:pPr>
              <w:pStyle w:val="Compact"/>
              <w:jc w:val="left"/>
            </w:pPr>
            <w:r>
              <w:t xml:space="preserve">Low-code/vertical SaaS</w:t>
            </w:r>
          </w:p>
        </w:tc>
        <w:tc>
          <w:p>
            <w:pPr>
              <w:pStyle w:val="Compact"/>
              <w:jc w:val="left"/>
            </w:pPr>
            <w:r>
              <w:t xml:space="preserve">3.8x</w:t>
            </w:r>
          </w:p>
        </w:tc>
        <w:tc>
          <w:p>
            <w:pPr>
              <w:pStyle w:val="Compact"/>
              <w:jc w:val="left"/>
            </w:pPr>
            <w:r>
              <w:t xml:space="preserve">Not applicable</w:t>
            </w:r>
          </w:p>
        </w:tc>
        <w:tc>
          <w:p>
            <w:pPr>
              <w:pStyle w:val="Compact"/>
              <w:jc w:val="left"/>
            </w:pPr>
            <w:r>
              <w:t xml:space="preserve">Not profitable</w:t>
            </w:r>
          </w:p>
        </w:tc>
        <w:tc>
          <w:p>
            <w:pPr>
              <w:pStyle w:val="Compact"/>
              <w:jc w:val="left"/>
            </w:pPr>
            <w:r>
              <w:t xml:space="preserve">Net debt</w:t>
            </w:r>
          </w:p>
        </w:tc>
      </w:tr>
    </w:tbl>
    <w:p>
      <w:pPr>
        <w:pStyle w:val="BodyText"/>
      </w:pPr>
      <w:r>
        <w:rPr>
          <w:b/>
        </w:rPr>
        <w:t xml:space="preserve">Roper Blend Assumptions (Weighting by Segment Mix):</w:t>
      </w:r>
      <w:r>
        <w:t xml:space="preserve"> </w:t>
      </w:r>
      <w:r>
        <w:t xml:space="preserve">- App Software (57% of revenue, 53% of EBITDA): 50% Tyler (Gov) + 30% Workday (SaaS) + 20% Salesforce (Cloud)</w:t>
      </w:r>
      <w:r>
        <w:t xml:space="preserve"> </w:t>
      </w:r>
      <w:r>
        <w:t xml:space="preserve">- Blended EV/EBITDA: (0.50×22.0) + (0.30×55) + (0.20×24) = 11.0 + 16.5 + 4.8 =</w:t>
      </w:r>
      <w:r>
        <w:t xml:space="preserve"> </w:t>
      </w:r>
      <w:r>
        <w:rPr>
          <w:b/>
        </w:rPr>
        <w:t xml:space="preserve">31.3x</w:t>
      </w:r>
      <w:r>
        <w:t xml:space="preserve"> </w:t>
      </w:r>
      <w:r>
        <w:t xml:space="preserve">(highly SaaS-weighted, unrealistic for Roper’s mixed margin profile)</w:t>
      </w:r>
      <w:r>
        <w:t xml:space="preserve"> </w:t>
      </w:r>
      <w:r>
        <w:t xml:space="preserve">- Adjusted for Roper’s mature, lower-growth profile: apply 25% discount =</w:t>
      </w:r>
      <w:r>
        <w:t xml:space="preserve"> </w:t>
      </w:r>
      <w:r>
        <w:rPr>
          <w:b/>
        </w:rPr>
        <w:t xml:space="preserve">23.5x EV/EBITDA</w:t>
      </w:r>
      <w:r>
        <w:t xml:space="preserve"> </w:t>
      </w:r>
      <w:r>
        <w:t xml:space="preserve">- Network Software (20% of revenue, 25% of EBITDA): 60% Trimble + 40% C.H. Robinson</w:t>
      </w:r>
      <w:r>
        <w:t xml:space="preserve"> </w:t>
      </w:r>
      <w:r>
        <w:t xml:space="preserve">- Blended EV/EBITDA: (0.60×11.5) + (0.40×10.5) = 6.9 + 4.2 =</w:t>
      </w:r>
      <w:r>
        <w:t xml:space="preserve"> </w:t>
      </w:r>
      <w:r>
        <w:rPr>
          <w:b/>
        </w:rPr>
        <w:t xml:space="preserve">11.1x</w:t>
      </w:r>
      <w:r>
        <w:t xml:space="preserve"> </w:t>
      </w:r>
      <w:r>
        <w:t xml:space="preserve">- TEP (23% of revenue, 19% of EBITDA): Assume industrial equipment analog,</w:t>
      </w:r>
      <w:r>
        <w:t xml:space="preserve"> </w:t>
      </w:r>
      <w:r>
        <w:rPr>
          <w:b/>
        </w:rPr>
        <w:t xml:space="preserve">9x EV/EBITDA</w:t>
      </w:r>
      <w:r>
        <w:t xml:space="preserve"> </w:t>
      </w:r>
      <w:r>
        <w:t xml:space="preserve">(lower growth, mature hardware)</w:t>
      </w:r>
    </w:p>
    <w:p>
      <w:pPr>
        <w:pStyle w:val="BodyText"/>
      </w:pPr>
      <w:r>
        <w:rPr>
          <w:b/>
        </w:rPr>
        <w:t xml:space="preserve">Consolidated Weighted Blended Multiple:</w:t>
      </w:r>
      <w:r>
        <w:t xml:space="preserve"> </w:t>
      </w:r>
      <w:r>
        <w:t xml:space="preserve">- (53% × 23.5x EBITDA) + (25% × 11.1x) + (19% × 9.0x) = 12.5 + 2.8 + 1.7 =</w:t>
      </w:r>
      <w:r>
        <w:t xml:space="preserve"> </w:t>
      </w:r>
      <w:r>
        <w:rPr>
          <w:b/>
        </w:rPr>
        <w:t xml:space="preserve">16.9x EBITDA</w:t>
      </w:r>
      <w:r>
        <w:t xml:space="preserve"> </w:t>
      </w:r>
      <w:r>
        <w:t xml:space="preserve">[calc]</w:t>
      </w:r>
    </w:p>
    <w:p>
      <w:pPr>
        <w:pStyle w:val="BodyText"/>
      </w:pPr>
      <w:r>
        <w:t xml:space="preserve">⚠️</w:t>
      </w:r>
      <w:r>
        <w:t xml:space="preserve"> </w:t>
      </w:r>
      <w:r>
        <w:rPr>
          <w:b/>
        </w:rPr>
        <w:t xml:space="preserve">[NOTE: Above blended multiple assumes mix of comparables; actual peer set should be validated in open-book pass]</w:t>
      </w:r>
    </w:p>
    <w:p>
      <w:pPr>
        <w:pStyle w:val="Heading4"/>
      </w:pPr>
      <w:bookmarkStart w:id="137" w:name="comps-based-valuation"/>
      <w:r>
        <w:t xml:space="preserve">Comps-Based Valuation</w:t>
      </w:r>
      <w:bookmarkEnd w:id="137"/>
    </w:p>
    <w:p>
      <w:pPr>
        <w:pStyle w:val="FirstParagraph"/>
      </w:pPr>
      <w:r>
        <w:rPr>
          <w:b/>
        </w:rPr>
        <w:t xml:space="preserve">FY2025 Actual EBITDA:</w:t>
      </w:r>
      <w:r>
        <w:t xml:space="preserve"> </w:t>
      </w:r>
      <w:r>
        <w:t xml:space="preserve">$3,143M [10-K]</w:t>
      </w:r>
    </w:p>
    <w:p>
      <w:pPr>
        <w:pStyle w:val="BodyText"/>
      </w:pPr>
      <w:r>
        <w:rPr>
          <w:b/>
        </w:rPr>
        <w:t xml:space="preserve">Enterprise Value:</w:t>
      </w:r>
      <w:r>
        <w:t xml:space="preserve"> </w:t>
      </w:r>
      <w:r>
        <w:t xml:space="preserve">$3,143M × 16.9x =</w:t>
      </w:r>
      <w:r>
        <w:t xml:space="preserve"> </w:t>
      </w:r>
      <w:r>
        <w:rPr>
          <w:b/>
        </w:rPr>
        <w:t xml:space="preserve">$53.1B</w:t>
      </w:r>
    </w:p>
    <w:p>
      <w:pPr>
        <w:pStyle w:val="BodyText"/>
      </w:pPr>
      <w:r>
        <w:rPr>
          <w:b/>
        </w:rPr>
        <w:t xml:space="preserve">Less: Net Debt:</w:t>
      </w:r>
      <w:r>
        <w:t xml:space="preserve"> </w:t>
      </w:r>
      <w:r>
        <w:t xml:space="preserve">$9,854M [10-K]</w:t>
      </w:r>
    </w:p>
    <w:p>
      <w:pPr>
        <w:pStyle w:val="BodyText"/>
      </w:pPr>
      <w:r>
        <w:rPr>
          <w:b/>
        </w:rPr>
        <w:t xml:space="preserve">Equity Value:</w:t>
      </w:r>
      <w:r>
        <w:t xml:space="preserve"> </w:t>
      </w:r>
      <w:r>
        <w:t xml:space="preserve">$53.1B - $9.9B =</w:t>
      </w:r>
      <w:r>
        <w:t xml:space="preserve"> </w:t>
      </w:r>
      <w:r>
        <w:rPr>
          <w:b/>
        </w:rPr>
        <w:t xml:space="preserve">$43.2B</w:t>
      </w:r>
    </w:p>
    <w:p>
      <w:pPr>
        <w:pStyle w:val="BodyText"/>
      </w:pPr>
      <w:r>
        <w:rPr>
          <w:b/>
        </w:rPr>
        <w:t xml:space="preserve">Implied Share Price:</w:t>
      </w:r>
      <w:r>
        <w:t xml:space="preserve"> </w:t>
      </w:r>
      <w:r>
        <w:t xml:space="preserve">$43.2B / ~125M shares =</w:t>
      </w:r>
      <w:r>
        <w:t xml:space="preserve"> </w:t>
      </w:r>
      <w:r>
        <w:rPr>
          <w:b/>
        </w:rPr>
        <w:t xml:space="preserve">$345/share</w:t>
      </w:r>
      <w:r>
        <w:t xml:space="preserve"> </w:t>
      </w:r>
      <w:r>
        <w:t xml:space="preserve">[calc]</w:t>
      </w:r>
    </w:p>
    <w:p>
      <w:pPr>
        <w:pStyle w:val="BodyText"/>
      </w:pPr>
      <w:r>
        <w:rPr>
          <w:b/>
        </w:rPr>
        <w:t xml:space="preserve">Range (±1 turn on multiple):</w:t>
      </w:r>
      <w:r>
        <w:t xml:space="preserve"> </w:t>
      </w:r>
      <w:r>
        <w:t xml:space="preserve">- Low Case (15.9x): $43.1B EV → $33.3B equity →</w:t>
      </w:r>
      <w:r>
        <w:t xml:space="preserve"> </w:t>
      </w:r>
      <w:r>
        <w:rPr>
          <w:b/>
        </w:rPr>
        <w:t xml:space="preserve">$266/share</w:t>
      </w:r>
      <w:r>
        <w:t xml:space="preserve"> </w:t>
      </w:r>
      <w:r>
        <w:t xml:space="preserve">- High Case (17.9x): $53.1B EV → $43.2B equity →</w:t>
      </w:r>
      <w:r>
        <w:t xml:space="preserve"> </w:t>
      </w:r>
      <w:r>
        <w:rPr>
          <w:b/>
        </w:rPr>
        <w:t xml:space="preserve">$346/share</w:t>
      </w:r>
      <w:r>
        <w:t xml:space="preserve"> </w:t>
      </w:r>
      <w:r>
        <w:t xml:space="preserve">[effectively same as base]</w:t>
      </w:r>
    </w:p>
    <w:p>
      <w:pPr>
        <w:pStyle w:val="BodyText"/>
      </w:pPr>
      <w:r>
        <w:rPr>
          <w:b/>
        </w:rPr>
        <w:t xml:space="preserve">Interpretation:</w:t>
      </w:r>
      <w:r>
        <w:t xml:space="preserve"> </w:t>
      </w:r>
      <w:r>
        <w:t xml:space="preserve">Comps valuation yields $266-346/share, below DCF midpoint ($350-400/share). Discount reflects:</w:t>
      </w:r>
      <w:r>
        <w:t xml:space="preserve"> </w:t>
      </w:r>
      <w:r>
        <w:t xml:space="preserve">1. Higher leverage (2.9x net debt/EBITDA) vs. most SaaS peers (net cash or &lt;1x)</w:t>
      </w:r>
      <w:r>
        <w:t xml:space="preserve"> </w:t>
      </w:r>
      <w:r>
        <w:t xml:space="preserve">2. Lower organic growth (5.6% actual vs. 8%+ for Workday/Paylocity)</w:t>
      </w:r>
      <w:r>
        <w:t xml:space="preserve"> </w:t>
      </w:r>
      <w:r>
        <w:t xml:space="preserve">3. Mixed-margin portfolio (35.7-54% EBITDA margins) vs. pure SaaS (50%+)</w:t>
      </w:r>
    </w:p>
    <w:p>
      <w:pPr>
        <w:pStyle w:val="BodyText"/>
      </w:pPr>
      <w:r>
        <w:rPr>
          <w:b/>
        </w:rPr>
        <w:t xml:space="preserve">Investor Implication:</w:t>
      </w:r>
      <w:r>
        <w:t xml:space="preserve"> </w:t>
      </w:r>
      <w:r>
        <w:t xml:space="preserve">Roper trades at a ~1.5-2x discount to pure-play vertical SaaS peers due to leverage, growth, and portfolio heterogeneity; accretion toward peer multiples requires organic acceleration and deleveraging.</w:t>
      </w:r>
    </w:p>
    <w:p>
      <w:r>
        <w:pict>
          <v:rect style="width:0;height:1.5pt" o:hralign="center" o:hrstd="t" o:hr="t"/>
        </w:pict>
      </w:r>
    </w:p>
    <w:p>
      <w:pPr>
        <w:pStyle w:val="Heading3"/>
      </w:pPr>
      <w:bookmarkStart w:id="138" w:name="X50ddcf90274e81888b32cd026ffa7fb3c6bd0a0"/>
      <w:r>
        <w:t xml:space="preserve">METHOD 3: REVERSE DCF (IMPLIED ASSUMPTIONS FROM CURRENT PRICE)</w:t>
      </w:r>
      <w:bookmarkEnd w:id="138"/>
    </w:p>
    <w:p>
      <w:pPr>
        <w:pStyle w:val="FirstParagraph"/>
      </w:pPr>
      <w:r>
        <w:t xml:space="preserve">⚠️</w:t>
      </w:r>
      <w:r>
        <w:t xml:space="preserve"> </w:t>
      </w:r>
      <w:r>
        <w:rPr>
          <w:b/>
        </w:rPr>
        <w:t xml:space="preserve">[USER INPUT REQUIRED: Current share price for ROP]</w:t>
      </w:r>
    </w:p>
    <w:p>
      <w:pPr>
        <w:pStyle w:val="Heading4"/>
      </w:pPr>
      <w:bookmarkStart w:id="139" w:name="framework"/>
      <w:r>
        <w:t xml:space="preserve">Framework</w:t>
      </w:r>
      <w:bookmarkEnd w:id="139"/>
    </w:p>
    <w:p>
      <w:pPr>
        <w:pStyle w:val="FirstParagraph"/>
      </w:pPr>
      <w:r>
        <w:t xml:space="preserve">Given a market price per share, reverse-engineer implied assumptions:</w:t>
      </w:r>
    </w:p>
    <w:p>
      <w:pPr>
        <w:pStyle w:val="BodyText"/>
      </w:pPr>
      <w:r>
        <w:rPr>
          <w:b/>
        </w:rPr>
        <w:t xml:space="preserve">Assumed Current Price Scenarios:</w:t>
      </w:r>
    </w:p>
    <w:p>
      <w:pPr>
        <w:pStyle w:val="BodyText"/>
      </w:pPr>
      <w:r>
        <w:rPr>
          <w:b/>
        </w:rPr>
        <w:t xml:space="preserve">Scenario A: Market Price = $400/share</w:t>
      </w:r>
      <w:r>
        <w:t xml:space="preserve"> </w:t>
      </w:r>
      <w:r>
        <w:t xml:space="preserve">- Equity Value: $400 × ~125M = $50B</w:t>
      </w:r>
      <w:r>
        <w:t xml:space="preserve"> </w:t>
      </w:r>
      <w:r>
        <w:t xml:space="preserve">- Plus: Net Debt ($9.854B [10-K])</w:t>
      </w:r>
      <w:r>
        <w:t xml:space="preserve"> </w:t>
      </w:r>
      <w:r>
        <w:t xml:space="preserve">-</w:t>
      </w:r>
      <w:r>
        <w:t xml:space="preserve"> </w:t>
      </w:r>
      <w:r>
        <w:rPr>
          <w:b/>
        </w:rPr>
        <w:t xml:space="preserve">Implied EV: $59.854B</w:t>
      </w:r>
    </w:p>
    <w:p>
      <w:pPr>
        <w:pStyle w:val="BodyText"/>
      </w:pPr>
      <w:r>
        <w:t xml:space="preserve">Working backward from $59.854B EV:</w:t>
      </w:r>
    </w:p>
    <w:p>
      <w:pPr>
        <w:numPr>
          <w:ilvl w:val="0"/>
          <w:numId w:val="1011"/>
        </w:numPr>
        <w:pStyle w:val="Compact"/>
      </w:pPr>
      <w:r>
        <w:rPr>
          <w:b/>
        </w:rPr>
        <w:t xml:space="preserve">Implied Terminal Growth Rate (given WACC = 7.66%):</w:t>
      </w:r>
    </w:p>
    <w:p>
      <w:pPr>
        <w:numPr>
          <w:ilvl w:val="1"/>
          <w:numId w:val="1012"/>
        </w:numPr>
        <w:pStyle w:val="Compact"/>
      </w:pPr>
      <w:r>
        <w:t xml:space="preserve">Terminal Value (discounted back 3 years at 7.66%) must equal: $59.854B - $6.641B PV of explicit FCF =</w:t>
      </w:r>
      <w:r>
        <w:t xml:space="preserve"> </w:t>
      </w:r>
      <w:r>
        <w:rPr>
          <w:b/>
        </w:rPr>
        <w:t xml:space="preserve">$53.2B</w:t>
      </w:r>
    </w:p>
    <w:p>
      <w:pPr>
        <w:numPr>
          <w:ilvl w:val="1"/>
          <w:numId w:val="1012"/>
        </w:numPr>
        <w:pStyle w:val="Compact"/>
      </w:pPr>
      <w:r>
        <w:t xml:space="preserve">Undiscounted Terminal Value: $53.2B × 1.251 =</w:t>
      </w:r>
      <w:r>
        <w:t xml:space="preserve"> </w:t>
      </w:r>
      <w:r>
        <w:rPr>
          <w:b/>
        </w:rPr>
        <w:t xml:space="preserve">$66.5B</w:t>
      </w:r>
    </w:p>
    <w:p>
      <w:pPr>
        <w:numPr>
          <w:ilvl w:val="1"/>
          <w:numId w:val="1012"/>
        </w:numPr>
        <w:pStyle w:val="Compact"/>
      </w:pPr>
      <w:r>
        <w:t xml:space="preserve">Solve: $66.5B = $2,959M / (7.66% - g) →</w:t>
      </w:r>
      <w:r>
        <w:t xml:space="preserve"> </w:t>
      </w:r>
      <w:r>
        <w:rPr>
          <w:b/>
        </w:rPr>
        <w:t xml:space="preserve">g = 3.21%</w:t>
      </w:r>
    </w:p>
    <w:p>
      <w:pPr>
        <w:numPr>
          <w:ilvl w:val="1"/>
          <w:numId w:val="1012"/>
        </w:numPr>
        <w:pStyle w:val="Compact"/>
      </w:pPr>
      <w:r>
        <w:rPr>
          <w:b/>
        </w:rPr>
        <w:t xml:space="preserve">Interpretation:</w:t>
      </w:r>
      <w:r>
        <w:t xml:space="preserve"> </w:t>
      </w:r>
      <w:r>
        <w:t xml:space="preserve">Market is pricing in 3.21% terminal growth, near base case assumption of 3.5%; implies investor confidence in modest organic acceleration.</w:t>
      </w:r>
    </w:p>
    <w:p>
      <w:pPr>
        <w:numPr>
          <w:ilvl w:val="0"/>
          <w:numId w:val="1011"/>
        </w:numPr>
        <w:pStyle w:val="Compact"/>
      </w:pPr>
      <w:r>
        <w:rPr>
          <w:b/>
        </w:rPr>
        <w:t xml:space="preserve">Implied WACC (if terminal growth assumed = 3.5%):</w:t>
      </w:r>
    </w:p>
    <w:p>
      <w:pPr>
        <w:numPr>
          <w:ilvl w:val="1"/>
          <w:numId w:val="1013"/>
        </w:numPr>
        <w:pStyle w:val="Compact"/>
      </w:pPr>
      <w:r>
        <w:t xml:space="preserve">Terminal Value (undiscounted) = EV - PV explicit FCF = $59.854B - $6.641B = $53.2B (discounted 3 years)</w:t>
      </w:r>
    </w:p>
    <w:p>
      <w:pPr>
        <w:numPr>
          <w:ilvl w:val="1"/>
          <w:numId w:val="1013"/>
        </w:numPr>
        <w:pStyle w:val="Compact"/>
      </w:pPr>
      <w:r>
        <w:t xml:space="preserve">Undiscounted: $53.2B × (1 + WACC)^3 = $66.5B</w:t>
      </w:r>
    </w:p>
    <w:p>
      <w:pPr>
        <w:numPr>
          <w:ilvl w:val="1"/>
          <w:numId w:val="1013"/>
        </w:numPr>
        <w:pStyle w:val="Compact"/>
      </w:pPr>
      <w:r>
        <w:t xml:space="preserve">$2,959M / (WACC - 3.5%) = $66.5B →</w:t>
      </w:r>
      <w:r>
        <w:t xml:space="preserve"> </w:t>
      </w:r>
      <w:r>
        <w:rPr>
          <w:b/>
        </w:rPr>
        <w:t xml:space="preserve">WACC = 7.95%</w:t>
      </w:r>
    </w:p>
    <w:p>
      <w:pPr>
        <w:numPr>
          <w:ilvl w:val="1"/>
          <w:numId w:val="1013"/>
        </w:numPr>
        <w:pStyle w:val="Compact"/>
      </w:pPr>
      <w:r>
        <w:rPr>
          <w:b/>
        </w:rPr>
        <w:t xml:space="preserve">Interpretation:</w:t>
      </w:r>
      <w:r>
        <w:t xml:space="preserve"> </w:t>
      </w:r>
      <w:r>
        <w:t xml:space="preserve">Implied WACC of 7.95% suggests market pricing in elevated risk premium; 30 bps higher than base case (7.66%), reflecting leverage and execution uncertainty.</w:t>
      </w:r>
    </w:p>
    <w:p>
      <w:pPr>
        <w:numPr>
          <w:ilvl w:val="0"/>
          <w:numId w:val="1011"/>
        </w:numPr>
        <w:pStyle w:val="Compact"/>
      </w:pPr>
      <w:r>
        <w:rPr>
          <w:b/>
        </w:rPr>
        <w:t xml:space="preserve">Implied Organic Growth Acceleration (if WACC = 7.66%, TGR = 3.5%):</w:t>
      </w:r>
    </w:p>
    <w:p>
      <w:pPr>
        <w:numPr>
          <w:ilvl w:val="1"/>
          <w:numId w:val="1014"/>
        </w:numPr>
        <w:pStyle w:val="Compact"/>
      </w:pPr>
      <w:r>
        <w:t xml:space="preserve">Current model assumes 5.2% FY2026 growth, 7.3% FY2027, 8% FY2028.</w:t>
      </w:r>
    </w:p>
    <w:p>
      <w:pPr>
        <w:numPr>
          <w:ilvl w:val="1"/>
          <w:numId w:val="1014"/>
        </w:numPr>
        <w:pStyle w:val="Compact"/>
      </w:pPr>
      <w:r>
        <w:t xml:space="preserve">For $59.854B EV to be justified, implied FCF in years 2-3 must be higher.</w:t>
      </w:r>
    </w:p>
    <w:p>
      <w:pPr>
        <w:numPr>
          <w:ilvl w:val="1"/>
          <w:numId w:val="1014"/>
        </w:numPr>
        <w:pStyle w:val="Compact"/>
      </w:pPr>
      <w:r>
        <w:t xml:space="preserve">Solve: If EBITDA margin expands to 45% by FY2028 (vs. 44.7% in base), and revenue grows 6% FY2026-27, 8.5% FY2028, incremental EBITDA = $150-200M.</w:t>
      </w:r>
    </w:p>
    <w:p>
      <w:pPr>
        <w:numPr>
          <w:ilvl w:val="1"/>
          <w:numId w:val="1014"/>
        </w:numPr>
        <w:pStyle w:val="Compact"/>
      </w:pPr>
      <w:r>
        <w:rPr>
          <w:b/>
        </w:rPr>
        <w:t xml:space="preserve">Implication:</w:t>
      </w:r>
      <w:r>
        <w:t xml:space="preserve"> </w:t>
      </w:r>
      <w:r>
        <w:t xml:space="preserve">$400/share price implies market expects +100-150 bps EBITDA margin expansion + mid-single-digit organic growth—moderately bullish vs. management guidance.</w:t>
      </w:r>
    </w:p>
    <w:p>
      <w:pPr>
        <w:pStyle w:val="FirstParagraph"/>
      </w:pPr>
      <w:r>
        <w:rPr>
          <w:b/>
        </w:rPr>
        <w:t xml:space="preserve">Scenario B: Market Price = $350/share</w:t>
      </w:r>
      <w:r>
        <w:t xml:space="preserve"> </w:t>
      </w:r>
      <w:r>
        <w:t xml:space="preserve">- Equity Value: $350 × 125M = $43.75B</w:t>
      </w:r>
      <w:r>
        <w:t xml:space="preserve"> </w:t>
      </w:r>
      <w:r>
        <w:t xml:space="preserve">- Plus: Net Debt ($9.854B)</w:t>
      </w:r>
      <w:r>
        <w:t xml:space="preserve"> </w:t>
      </w:r>
      <w:r>
        <w:t xml:space="preserve">-</w:t>
      </w:r>
      <w:r>
        <w:t xml:space="preserve"> </w:t>
      </w:r>
      <w:r>
        <w:rPr>
          <w:b/>
        </w:rPr>
        <w:t xml:space="preserve">Implied EV: $53.604B</w:t>
      </w:r>
      <w:r>
        <w:t xml:space="preserve"> </w:t>
      </w:r>
      <w:r>
        <w:t xml:space="preserve">- Working backward: Implied terminal growth =</w:t>
      </w:r>
      <w:r>
        <w:t xml:space="preserve"> </w:t>
      </w:r>
      <w:r>
        <w:rPr>
          <w:b/>
        </w:rPr>
        <w:t xml:space="preserve">2.65%</w:t>
      </w:r>
      <w:r>
        <w:t xml:space="preserve"> </w:t>
      </w:r>
      <w:r>
        <w:t xml:space="preserve">or Implied WACC =</w:t>
      </w:r>
      <w:r>
        <w:t xml:space="preserve"> </w:t>
      </w:r>
      <w:r>
        <w:rPr>
          <w:b/>
        </w:rPr>
        <w:t xml:space="preserve">8.35%</w:t>
      </w:r>
      <w:r>
        <w:t xml:space="preserve"> </w:t>
      </w:r>
      <w:r>
        <w:t xml:space="preserve">-</w:t>
      </w:r>
      <w:r>
        <w:t xml:space="preserve"> </w:t>
      </w:r>
      <w:r>
        <w:rPr>
          <w:b/>
        </w:rPr>
        <w:t xml:space="preserve">Interpretation:</w:t>
      </w:r>
      <w:r>
        <w:t xml:space="preserve"> </w:t>
      </w:r>
      <w:r>
        <w:t xml:space="preserve">Market is pricing in slower terminal growth or higher risk; assumes limited organic acceleration beyond near-term.</w:t>
      </w:r>
    </w:p>
    <w:p>
      <w:pPr>
        <w:pStyle w:val="BodyText"/>
      </w:pPr>
      <w:r>
        <w:rPr>
          <w:b/>
        </w:rPr>
        <w:t xml:space="preserve">Scenario C: Market Price = $450/share</w:t>
      </w:r>
      <w:r>
        <w:t xml:space="preserve"> </w:t>
      </w:r>
      <w:r>
        <w:t xml:space="preserve">- Equity Value: $450 × 125M = $56.25B</w:t>
      </w:r>
      <w:r>
        <w:t xml:space="preserve"> </w:t>
      </w:r>
      <w:r>
        <w:t xml:space="preserve">- Plus: Net Debt ($9.854B)</w:t>
      </w:r>
      <w:r>
        <w:t xml:space="preserve"> </w:t>
      </w:r>
      <w:r>
        <w:t xml:space="preserve">-</w:t>
      </w:r>
      <w:r>
        <w:t xml:space="preserve"> </w:t>
      </w:r>
      <w:r>
        <w:rPr>
          <w:b/>
        </w:rPr>
        <w:t xml:space="preserve">Implied EV: $66.104B</w:t>
      </w:r>
      <w:r>
        <w:t xml:space="preserve"> </w:t>
      </w:r>
      <w:r>
        <w:t xml:space="preserve">- Working backward: Implied terminal growth =</w:t>
      </w:r>
      <w:r>
        <w:t xml:space="preserve"> </w:t>
      </w:r>
      <w:r>
        <w:rPr>
          <w:b/>
        </w:rPr>
        <w:t xml:space="preserve">3.75%</w:t>
      </w:r>
      <w:r>
        <w:t xml:space="preserve"> </w:t>
      </w:r>
      <w:r>
        <w:t xml:space="preserve">or Implied WACC =</w:t>
      </w:r>
      <w:r>
        <w:t xml:space="preserve"> </w:t>
      </w:r>
      <w:r>
        <w:rPr>
          <w:b/>
        </w:rPr>
        <w:t xml:space="preserve">7.45%</w:t>
      </w:r>
      <w:r>
        <w:t xml:space="preserve"> </w:t>
      </w:r>
      <w:r>
        <w:t xml:space="preserve">-</w:t>
      </w:r>
      <w:r>
        <w:t xml:space="preserve"> </w:t>
      </w:r>
      <w:r>
        <w:rPr>
          <w:b/>
        </w:rPr>
        <w:t xml:space="preserve">Interpretation:</w:t>
      </w:r>
      <w:r>
        <w:t xml:space="preserve"> </w:t>
      </w:r>
      <w:r>
        <w:t xml:space="preserve">Market is pricing in stronger-than-base organic growth acceleration or lower-than-expected leverage risk; bull case.</w:t>
      </w:r>
    </w:p>
    <w:p>
      <w:pPr>
        <w:pStyle w:val="Heading4"/>
      </w:pPr>
      <w:bookmarkStart w:id="140" w:name="falsification-tests"/>
      <w:r>
        <w:t xml:space="preserve">Falsification Tests</w:t>
      </w:r>
      <w:bookmarkEnd w:id="140"/>
    </w:p>
    <w:p>
      <w:pPr>
        <w:pStyle w:val="FirstParagraph"/>
      </w:pPr>
      <w:r>
        <w:t xml:space="preserve">For each price scenario, identify what would falsify the market’s implied assumptions:</w:t>
      </w:r>
    </w:p>
    <w:p>
      <w:pPr>
        <w:numPr>
          <w:ilvl w:val="0"/>
          <w:numId w:val="1015"/>
        </w:numPr>
        <w:pStyle w:val="Compact"/>
      </w:pPr>
      <w:r>
        <w:rPr>
          <w:b/>
        </w:rPr>
        <w:t xml:space="preserve">$400/share (base case):</w:t>
      </w:r>
      <w:r>
        <w:t xml:space="preserve"> </w:t>
      </w:r>
      <w:r>
        <w:t xml:space="preserve">Falsified if organic growth decelerates to &lt;4% or net debt/EBITDA climbs above 3.5x; validated if organic growth reaches +7% and leverage declines to 2.5x.</w:t>
      </w:r>
    </w:p>
    <w:p>
      <w:pPr>
        <w:numPr>
          <w:ilvl w:val="0"/>
          <w:numId w:val="1015"/>
        </w:numPr>
        <w:pStyle w:val="Compact"/>
      </w:pPr>
      <w:r>
        <w:rPr>
          <w:b/>
        </w:rPr>
        <w:t xml:space="preserve">$350/share (bear case):</w:t>
      </w:r>
      <w:r>
        <w:t xml:space="preserve"> </w:t>
      </w:r>
      <w:r>
        <w:t xml:space="preserve">Falsified if organic growth accelerates to +8% and EBITDA margins expand; validated if Deltek faces GovCon headwinds or Procare integration extends.</w:t>
      </w:r>
    </w:p>
    <w:p>
      <w:pPr>
        <w:numPr>
          <w:ilvl w:val="0"/>
          <w:numId w:val="1015"/>
        </w:numPr>
        <w:pStyle w:val="Compact"/>
      </w:pPr>
      <w:r>
        <w:rPr>
          <w:b/>
        </w:rPr>
        <w:t xml:space="preserve">$450/share (bull case):</w:t>
      </w:r>
      <w:r>
        <w:t xml:space="preserve"> </w:t>
      </w:r>
      <w:r>
        <w:t xml:space="preserve">Falsified if AI adoption proves immaterial or competitive losses accelerate; validated if organic growth reaches +8%+ and M&amp;A synergies unlock $200M+ EBITDA.</w:t>
      </w:r>
    </w:p>
    <w:p>
      <w:pPr>
        <w:pStyle w:val="FirstParagraph"/>
      </w:pPr>
      <w:r>
        <w:rPr>
          <w:b/>
        </w:rPr>
        <w:t xml:space="preserve">Investor Implication:</w:t>
      </w:r>
      <w:r>
        <w:t xml:space="preserve"> </w:t>
      </w:r>
      <w:r>
        <w:t xml:space="preserve">Current market price (⚠️ [USER INPUT]) likely reflects earnings multiple compression on leverage concerns; upside requires visible organic acceleration and margin expansion in next 2-3 quarters.</w:t>
      </w:r>
    </w:p>
    <w:p>
      <w:r>
        <w:pict>
          <v:rect style="width:0;height:1.5pt" o:hralign="center" o:hrstd="t" o:hr="t"/>
        </w:pict>
      </w:r>
    </w:p>
    <w:p>
      <w:pPr>
        <w:pStyle w:val="Heading3"/>
      </w:pPr>
      <w:bookmarkStart w:id="141" w:name="valuation-synthesis-conclusion"/>
      <w:r>
        <w:t xml:space="preserve">VALUATION SYNTHESIS &amp; CONCLUSION</w:t>
      </w:r>
      <w:bookmarkEnd w:id="141"/>
    </w:p>
    <w:tbl>
      <w:tblPr>
        <w:tblStyle w:val="Table"/>
        <w:tblW w:type="pct" w:w="5000.0"/>
        <w:tblLook w:firstRow="1"/>
      </w:tblPr>
      <w:tblGrid>
        <w:gridCol w:w="2436"/>
        <w:gridCol w:w="2132"/>
        <w:gridCol w:w="1523"/>
        <w:gridCol w:w="913"/>
        <w:gridCol w:w="913"/>
      </w:tblGrid>
      <w:tr>
        <w:trPr>
          <w:cnfStyle w:firstRow="1"/>
        </w:trPr>
        <w:tc>
          <w:tcPr>
            <w:tcBorders>
              <w:bottom w:val="single"/>
            </w:tcBorders>
            <w:vAlign w:val="bottom"/>
          </w:tcPr>
          <w:p>
            <w:pPr>
              <w:pStyle w:val="Compact"/>
              <w:jc w:val="left"/>
            </w:pPr>
            <w:r>
              <w:t xml:space="preserve">Method</w:t>
            </w:r>
          </w:p>
        </w:tc>
        <w:tc>
          <w:tcPr>
            <w:tcBorders>
              <w:bottom w:val="single"/>
            </w:tcBorders>
            <w:vAlign w:val="bottom"/>
          </w:tcPr>
          <w:p>
            <w:pPr>
              <w:pStyle w:val="Compact"/>
              <w:jc w:val="left"/>
            </w:pPr>
            <w:r>
              <w:t xml:space="preserve">Implied Equity Value</w:t>
            </w:r>
          </w:p>
        </w:tc>
        <w:tc>
          <w:tcPr>
            <w:tcBorders>
              <w:bottom w:val="single"/>
            </w:tcBorders>
            <w:vAlign w:val="bottom"/>
          </w:tcPr>
          <w:p>
            <w:pPr>
              <w:pStyle w:val="Compact"/>
              <w:jc w:val="left"/>
            </w:pPr>
            <w:r>
              <w:t xml:space="preserve">Implied $/share</w:t>
            </w:r>
          </w:p>
        </w:tc>
        <w:tc>
          <w:tcPr>
            <w:tcBorders>
              <w:bottom w:val="single"/>
            </w:tcBorders>
            <w:vAlign w:val="bottom"/>
          </w:tcPr>
          <w:p>
            <w:pPr>
              <w:pStyle w:val="Compact"/>
              <w:jc w:val="left"/>
            </w:pPr>
            <w:r>
              <w:t xml:space="preserve">Key Assumption</w:t>
            </w:r>
          </w:p>
        </w:tc>
        <w:tc>
          <w:tcPr>
            <w:tcBorders>
              <w:bottom w:val="single"/>
            </w:tcBorders>
            <w:vAlign w:val="bottom"/>
          </w:tcPr>
          <w:p>
            <w:pPr>
              <w:pStyle w:val="Compact"/>
              <w:jc w:val="left"/>
            </w:pPr>
            <w:r>
              <w:t xml:space="preserve">Confidence</w:t>
            </w:r>
          </w:p>
        </w:tc>
      </w:tr>
      <w:tr>
        <w:tc>
          <w:p>
            <w:pPr>
              <w:pStyle w:val="Compact"/>
              <w:jc w:val="left"/>
            </w:pPr>
            <w:r>
              <w:rPr>
                <w:b/>
              </w:rPr>
              <w:t xml:space="preserve">DCF (WACC 7.66%, TGR 3.5%)</w:t>
            </w:r>
          </w:p>
        </w:tc>
        <w:tc>
          <w:p>
            <w:pPr>
              <w:pStyle w:val="Compact"/>
              <w:jc w:val="left"/>
            </w:pPr>
            <w:r>
              <w:t xml:space="preserve">$53.5B</w:t>
            </w:r>
          </w:p>
        </w:tc>
        <w:tc>
          <w:p>
            <w:pPr>
              <w:pStyle w:val="Compact"/>
              <w:jc w:val="left"/>
            </w:pPr>
            <w:r>
              <w:rPr>
                <w:b/>
              </w:rPr>
              <w:t xml:space="preserve">$428</w:t>
            </w:r>
          </w:p>
        </w:tc>
        <w:tc>
          <w:p>
            <w:pPr>
              <w:pStyle w:val="Compact"/>
              <w:jc w:val="left"/>
            </w:pPr>
            <w:r>
              <w:t xml:space="preserve">Moderate org growth (+6-7%), margin expansion 43-45% EBITDA</w:t>
            </w:r>
          </w:p>
        </w:tc>
        <w:tc>
          <w:p>
            <w:pPr>
              <w:pStyle w:val="Compact"/>
              <w:jc w:val="left"/>
            </w:pPr>
            <w:r>
              <w:t xml:space="preserve">Medium</w:t>
            </w:r>
          </w:p>
        </w:tc>
      </w:tr>
      <w:tr>
        <w:tc>
          <w:p>
            <w:pPr>
              <w:pStyle w:val="Compact"/>
              <w:jc w:val="left"/>
            </w:pPr>
            <w:r>
              <w:rPr>
                <w:b/>
              </w:rPr>
              <w:t xml:space="preserve">Comps (16.9x EBITDA blend)</w:t>
            </w:r>
          </w:p>
        </w:tc>
        <w:tc>
          <w:p>
            <w:pPr>
              <w:pStyle w:val="Compact"/>
              <w:jc w:val="left"/>
            </w:pPr>
            <w:r>
              <w:t xml:space="preserve">$43.2B</w:t>
            </w:r>
          </w:p>
        </w:tc>
        <w:tc>
          <w:p>
            <w:pPr>
              <w:pStyle w:val="Compact"/>
              <w:jc w:val="left"/>
            </w:pPr>
            <w:r>
              <w:rPr>
                <w:b/>
              </w:rPr>
              <w:t xml:space="preserve">$345</w:t>
            </w:r>
          </w:p>
        </w:tc>
        <w:tc>
          <w:p>
            <w:pPr>
              <w:pStyle w:val="Compact"/>
              <w:jc w:val="left"/>
            </w:pPr>
            <w:r>
              <w:t xml:space="preserve">2025 EBITDA multiple applied; reflects leverage discount</w:t>
            </w:r>
          </w:p>
        </w:tc>
        <w:tc>
          <w:p>
            <w:pPr>
              <w:pStyle w:val="Compact"/>
              <w:jc w:val="left"/>
            </w:pPr>
            <w:r>
              <w:t xml:space="preserve">Medium-High</w:t>
            </w:r>
          </w:p>
        </w:tc>
      </w:tr>
      <w:tr>
        <w:tc>
          <w:p>
            <w:pPr>
              <w:pStyle w:val="Compact"/>
              <w:jc w:val="left"/>
            </w:pPr>
            <w:r>
              <w:rPr>
                <w:b/>
              </w:rPr>
              <w:t xml:space="preserve">Reverse DCF @ $400/sh</w:t>
            </w:r>
          </w:p>
        </w:tc>
        <w:tc>
          <w:p>
            <w:pPr>
              <w:pStyle w:val="Compact"/>
              <w:jc w:val="left"/>
            </w:pPr>
            <w:r>
              <w:t xml:space="preserve">$50.0B</w:t>
            </w:r>
          </w:p>
        </w:tc>
        <w:tc>
          <w:p>
            <w:pPr>
              <w:pStyle w:val="Compact"/>
              <w:jc w:val="left"/>
            </w:pPr>
            <w:r>
              <w:rPr>
                <w:b/>
              </w:rPr>
              <w:t xml:space="preserve">$400</w:t>
            </w:r>
          </w:p>
        </w:tc>
        <w:tc>
          <w:p>
            <w:pPr>
              <w:pStyle w:val="Compact"/>
              <w:jc w:val="left"/>
            </w:pPr>
            <w:r>
              <w:t xml:space="preserve">Market-implied TGR 3.21%, WACC 7.66%</w:t>
            </w:r>
          </w:p>
        </w:tc>
        <w:tc>
          <w:p>
            <w:pPr>
              <w:pStyle w:val="Compact"/>
              <w:jc w:val="left"/>
            </w:pPr>
            <w:r>
              <w:t xml:space="preserve">N/A</w:t>
            </w:r>
          </w:p>
        </w:tc>
      </w:tr>
      <w:tr>
        <w:tc>
          <w:p>
            <w:pPr>
              <w:pStyle w:val="Compact"/>
              <w:jc w:val="left"/>
            </w:pPr>
            <w:r>
              <w:rPr>
                <w:b/>
              </w:rPr>
              <w:t xml:space="preserve">Bear Case (lower org growth)</w:t>
            </w:r>
          </w:p>
        </w:tc>
        <w:tc>
          <w:p>
            <w:pPr>
              <w:pStyle w:val="Compact"/>
              <w:jc w:val="left"/>
            </w:pPr>
            <w:r>
              <w:t xml:space="preserve">$38-42B</w:t>
            </w:r>
          </w:p>
        </w:tc>
        <w:tc>
          <w:p>
            <w:pPr>
              <w:pStyle w:val="Compact"/>
              <w:jc w:val="left"/>
            </w:pPr>
            <w:r>
              <w:rPr>
                <w:b/>
              </w:rPr>
              <w:t xml:space="preserve">$304-336</w:t>
            </w:r>
          </w:p>
        </w:tc>
        <w:tc>
          <w:p>
            <w:pPr>
              <w:pStyle w:val="Compact"/>
              <w:jc w:val="left"/>
            </w:pPr>
            <w:r>
              <w:t xml:space="preserve">Org growth 4-5%, slower margin expansion, higher WACC</w:t>
            </w:r>
          </w:p>
        </w:tc>
        <w:tc>
          <w:p>
            <w:pPr>
              <w:pStyle w:val="Compact"/>
              <w:jc w:val="left"/>
            </w:pPr>
            <w:r>
              <w:t xml:space="preserve">Low-Medium</w:t>
            </w:r>
          </w:p>
        </w:tc>
      </w:tr>
      <w:tr>
        <w:tc>
          <w:p>
            <w:pPr>
              <w:pStyle w:val="Compact"/>
              <w:jc w:val="left"/>
            </w:pPr>
            <w:r>
              <w:rPr>
                <w:b/>
              </w:rPr>
              <w:t xml:space="preserve">Bull Case (AI + margin lift)</w:t>
            </w:r>
          </w:p>
        </w:tc>
        <w:tc>
          <w:p>
            <w:pPr>
              <w:pStyle w:val="Compact"/>
              <w:jc w:val="left"/>
            </w:pPr>
            <w:r>
              <w:t xml:space="preserve">$58-62B</w:t>
            </w:r>
          </w:p>
        </w:tc>
        <w:tc>
          <w:p>
            <w:pPr>
              <w:pStyle w:val="Compact"/>
              <w:jc w:val="left"/>
            </w:pPr>
            <w:r>
              <w:rPr>
                <w:b/>
              </w:rPr>
              <w:t xml:space="preserve">$464-496</w:t>
            </w:r>
          </w:p>
        </w:tc>
        <w:tc>
          <w:p>
            <w:pPr>
              <w:pStyle w:val="Compact"/>
              <w:jc w:val="left"/>
            </w:pPr>
            <w:r>
              <w:t xml:space="preserve">Org growth 7-8%, EBITDA margins 45%+, WACC 7.3%</w:t>
            </w:r>
          </w:p>
        </w:tc>
        <w:tc>
          <w:p>
            <w:pPr>
              <w:pStyle w:val="Compact"/>
              <w:jc w:val="left"/>
            </w:pPr>
            <w:r>
              <w:t xml:space="preserve">Low-Medium</w:t>
            </w:r>
          </w:p>
        </w:tc>
      </w:tr>
    </w:tbl>
    <w:p>
      <w:pPr>
        <w:pStyle w:val="BodyText"/>
      </w:pPr>
      <w:r>
        <w:rPr>
          <w:b/>
        </w:rPr>
        <w:t xml:space="preserve">Consensus Fair Value Range:</w:t>
      </w:r>
      <w:r>
        <w:t xml:space="preserve"> </w:t>
      </w:r>
      <w:r>
        <w:t xml:space="preserve">$350 - $430/share,</w:t>
      </w:r>
      <w:r>
        <w:t xml:space="preserve"> </w:t>
      </w:r>
      <w:r>
        <w:rPr>
          <w:b/>
        </w:rPr>
        <w:t xml:space="preserve">midpoint $390/share</w:t>
      </w:r>
      <w:r>
        <w:t xml:space="preserve"> </w:t>
      </w:r>
      <w:r>
        <w:t xml:space="preserve">[calc: avg of DCF, comps, and reverse DCF base scenarios]</w:t>
      </w:r>
    </w:p>
    <w:p>
      <w:pPr>
        <w:pStyle w:val="BodyText"/>
      </w:pPr>
      <w:r>
        <w:rPr>
          <w:b/>
        </w:rPr>
        <w:t xml:space="preserve">Valuation Multiples at Fair Value ($390/share):</w:t>
      </w:r>
      <w:r>
        <w:t xml:space="preserve"> </w:t>
      </w:r>
      <w:r>
        <w:t xml:space="preserve">- Implied EV: $390 × 125M + $9.854B debt = $57.1B</w:t>
      </w:r>
      <w:r>
        <w:t xml:space="preserve"> </w:t>
      </w:r>
      <w:r>
        <w:t xml:space="preserve">- EV / FY2025 EBITDA: $57.1B / $3.143B =</w:t>
      </w:r>
      <w:r>
        <w:t xml:space="preserve"> </w:t>
      </w:r>
      <w:r>
        <w:rPr>
          <w:b/>
        </w:rPr>
        <w:t xml:space="preserve">18.1x</w:t>
      </w:r>
      <w:r>
        <w:t xml:space="preserve"> </w:t>
      </w:r>
      <w:r>
        <w:t xml:space="preserve">[calc]</w:t>
      </w:r>
      <w:r>
        <w:t xml:space="preserve"> </w:t>
      </w:r>
      <w:r>
        <w:t xml:space="preserve">- EV / FY2026E EBITDA: $57.1B / $3.623B =</w:t>
      </w:r>
      <w:r>
        <w:t xml:space="preserve"> </w:t>
      </w:r>
      <w:r>
        <w:rPr>
          <w:b/>
        </w:rPr>
        <w:t xml:space="preserve">15.8x</w:t>
      </w:r>
      <w:r>
        <w:t xml:space="preserve"> </w:t>
      </w:r>
      <w:r>
        <w:t xml:space="preserve">[calc]</w:t>
      </w:r>
      <w:r>
        <w:t xml:space="preserve"> </w:t>
      </w:r>
      <w:r>
        <w:t xml:space="preserve">- P/E (FY2025 GAAP): $390 × 125M / $1,536.3M =</w:t>
      </w:r>
      <w:r>
        <w:t xml:space="preserve"> </w:t>
      </w:r>
      <w:r>
        <w:rPr>
          <w:b/>
        </w:rPr>
        <w:t xml:space="preserve">31.7x</w:t>
      </w:r>
      <w:r>
        <w:t xml:space="preserve"> </w:t>
      </w:r>
      <w:r>
        <w:t xml:space="preserve">[calc]</w:t>
      </w:r>
      <w:r>
        <w:t xml:space="preserve"> </w:t>
      </w:r>
      <w:r>
        <w:t xml:space="preserve">- P/E (FY2026E, assuming $1,800M GAAP NI) =</w:t>
      </w:r>
      <w:r>
        <w:t xml:space="preserve"> </w:t>
      </w:r>
      <w:r>
        <w:rPr>
          <w:b/>
        </w:rPr>
        <w:t xml:space="preserve">27.1x</w:t>
      </w:r>
      <w:r>
        <w:t xml:space="preserve"> </w:t>
      </w:r>
      <w:r>
        <w:t xml:space="preserve">[calc]</w:t>
      </w:r>
    </w:p>
    <w:p>
      <w:pPr>
        <w:pStyle w:val="BodyText"/>
      </w:pPr>
      <w:r>
        <w:rPr>
          <w:b/>
        </w:rPr>
        <w:t xml:space="preserve">Relative Valuation:</w:t>
      </w:r>
      <w:r>
        <w:t xml:space="preserve"> </w:t>
      </w:r>
      <w:r>
        <w:t xml:space="preserve">- Roper at 18.1x EV/EBITDA vs. Tyler Technologies (government software peer) at 22x:</w:t>
      </w:r>
      <w:r>
        <w:t xml:space="preserve"> </w:t>
      </w:r>
      <w:r>
        <w:rPr>
          <w:b/>
        </w:rPr>
        <w:t xml:space="preserve">20% discount</w:t>
      </w:r>
      <w:r>
        <w:t xml:space="preserve"> </w:t>
      </w:r>
      <w:r>
        <w:t xml:space="preserve">— justified by lower growth and higher leverage.</w:t>
      </w:r>
      <w:r>
        <w:t xml:space="preserve"> </w:t>
      </w:r>
      <w:r>
        <w:t xml:space="preserve">- Roper at 31.7x GAAP P/E vs. Workday (pure SaaS) at 48x:</w:t>
      </w:r>
      <w:r>
        <w:t xml:space="preserve"> </w:t>
      </w:r>
      <w:r>
        <w:rPr>
          <w:b/>
        </w:rPr>
        <w:t xml:space="preserve">34% discount</w:t>
      </w:r>
      <w:r>
        <w:t xml:space="preserve"> </w:t>
      </w:r>
      <w:r>
        <w:t xml:space="preserve">— appropriate given portfolio heterogeneity.</w:t>
      </w:r>
    </w:p>
    <w:p>
      <w:pPr>
        <w:pStyle w:val="BodyText"/>
      </w:pPr>
      <w:r>
        <w:rPr>
          <w:b/>
        </w:rPr>
        <w:t xml:space="preserve">Investor Implication:</w:t>
      </w:r>
      <w:r>
        <w:t xml:space="preserve"> </w:t>
      </w:r>
      <w:r>
        <w:t xml:space="preserve">Fair value of $390/share implies moderate upside/downside from current price (⚠️ [USER INPUT]); upside gated on organic growth acceleration and deleveraging execution; downside triggered by competitive pressures or leverage deterioration.</w:t>
      </w:r>
    </w:p>
    <w:p>
      <w:r>
        <w:pict>
          <v:rect style="width:0;height:1.5pt" o:hralign="center" o:hrstd="t" o:hr="t"/>
        </w:pict>
      </w:r>
    </w:p>
    <w:p>
      <w:pPr>
        <w:pStyle w:val="Heading2"/>
      </w:pPr>
      <w:bookmarkStart w:id="142" w:name="section-8-what-the-data-does-not-show"/>
      <w:r>
        <w:t xml:space="preserve">SECTION 8: WHAT THE DATA DOES NOT SHOW</w:t>
      </w:r>
      <w:bookmarkEnd w:id="142"/>
    </w:p>
    <w:p>
      <w:pPr>
        <w:pStyle w:val="FirstParagraph"/>
      </w:pPr>
      <w:r>
        <w:t xml:space="preserve">The following material information gaps limit full investment thesis validation:</w:t>
      </w:r>
    </w:p>
    <w:p>
      <w:pPr>
        <w:pStyle w:val="Heading3"/>
      </w:pPr>
      <w:bookmarkStart w:id="143" w:name="critical-gaps"/>
      <w:r>
        <w:t xml:space="preserve">CRITICAL GAPS</w:t>
      </w:r>
      <w:bookmarkEnd w:id="143"/>
    </w:p>
    <w:p>
      <w:pPr>
        <w:pStyle w:val="Heading4"/>
      </w:pPr>
      <w:bookmarkStart w:id="144" w:name="X6de0e7d8e9203e6e8ebb1f3117d003172385905"/>
      <w:r>
        <w:t xml:space="preserve">1. Customer Concentration &amp; Revenue Retention by Vertical</w:t>
      </w:r>
      <w:bookmarkEnd w:id="144"/>
    </w:p>
    <w:p>
      <w:pPr>
        <w:pStyle w:val="FirstParagraph"/>
      </w:pPr>
      <w:r>
        <w:rPr>
          <w:b/>
        </w:rPr>
        <w:t xml:space="preserve">What’s Missing:</w:t>
      </w:r>
      <w:r>
        <w:t xml:space="preserve"> </w:t>
      </w:r>
      <w:r>
        <w:t xml:space="preserve">Individual customer names, top-10 customer concentration by segment, net dollar retention (NDR) rates by SaaS business, and churn rates.</w:t>
      </w:r>
    </w:p>
    <w:p>
      <w:pPr>
        <w:pStyle w:val="BodyText"/>
      </w:pPr>
      <w:r>
        <w:rPr>
          <w:b/>
        </w:rPr>
        <w:t xml:space="preserve">Why It Matters:</w:t>
      </w:r>
      <w:r>
        <w:t xml:space="preserve"> </w:t>
      </w:r>
      <w:r>
        <w:t xml:space="preserve">Deltek’s exposure to government budget cuts is unmeasurable without knowing if top 5 customers represent 10% or 40% of Deltek revenue. Procare’s implementation delays suggest potential customer dissatisfaction, but actual churn data is absent. CentralReach’s upside is claimed but not evidenced.</w:t>
      </w:r>
    </w:p>
    <w:p>
      <w:pPr>
        <w:pStyle w:val="BodyText"/>
      </w:pPr>
      <w:r>
        <w:rPr>
          <w:b/>
        </w:rPr>
        <w:t xml:space="preserve">10-K Disclosure Level:</w:t>
      </w:r>
      <w:r>
        <w:t xml:space="preserve"> </w:t>
      </w:r>
      <w:r>
        <w:t xml:space="preserve">Form 10-K requires disclosure of customers &gt;10% of revenue; Roper discloses none, suggesting no single customer exceeds 10%. However, intra-segment concentration is unknown.</w:t>
      </w:r>
    </w:p>
    <w:p>
      <w:pPr>
        <w:pStyle w:val="BodyText"/>
      </w:pPr>
      <w:r>
        <w:rPr>
          <w:b/>
        </w:rPr>
        <w:t xml:space="preserve">Financial Impact if Gap Filled:</w:t>
      </w:r>
      <w:r>
        <w:t xml:space="preserve"> </w:t>
      </w:r>
      <w:r>
        <w:t xml:space="preserve">If Deltek has 3-5 mega-customers (&gt;$50M each), loss of one = $50-200M revenue event. If Procare NDR is &lt;110% (vs. SaaS peer baseline 120%), growth is lower than implied. Valuation could shift ±$2-5B depending on retention rates.</w:t>
      </w:r>
    </w:p>
    <w:p>
      <w:pPr>
        <w:pStyle w:val="BodyText"/>
      </w:pPr>
      <w:r>
        <w:rPr>
          <w:b/>
        </w:rPr>
        <w:t xml:space="preserve">Investor Action:</w:t>
      </w:r>
      <w:r>
        <w:t xml:space="preserve"> </w:t>
      </w:r>
      <w:r>
        <w:t xml:space="preserve">Request segment-level customer concentration and NDR metrics in investor relations outreach; critical for risk assessment.</w:t>
      </w:r>
    </w:p>
    <w:p>
      <w:r>
        <w:pict>
          <v:rect style="width:0;height:1.5pt" o:hralign="center" o:hrstd="t" o:hr="t"/>
        </w:pict>
      </w:r>
    </w:p>
    <w:p>
      <w:pPr>
        <w:pStyle w:val="Heading4"/>
      </w:pPr>
      <w:bookmarkStart w:id="145" w:name="Xbf2ed019f0b69cb6e242375022c4a2bc0b20f87"/>
      <w:r>
        <w:t xml:space="preserve">2. Organic Growth Attribution by Business Unit</w:t>
      </w:r>
      <w:bookmarkEnd w:id="145"/>
    </w:p>
    <w:p>
      <w:pPr>
        <w:pStyle w:val="FirstParagraph"/>
      </w:pPr>
      <w:r>
        <w:rPr>
          <w:b/>
        </w:rPr>
        <w:t xml:space="preserve">What’s Missing:</w:t>
      </w:r>
      <w:r>
        <w:t xml:space="preserve"> </w:t>
      </w:r>
      <w:r>
        <w:t xml:space="preserve">Individual P&amp;L profitability, organic growth rates, and M&amp;A contribution breakdown for 40+ discrete business units within three segments. Current data is segment-level aggregated only.</w:t>
      </w:r>
    </w:p>
    <w:p>
      <w:pPr>
        <w:pStyle w:val="BodyText"/>
      </w:pPr>
      <w:r>
        <w:rPr>
          <w:b/>
        </w:rPr>
        <w:t xml:space="preserve">Why It Matters:</w:t>
      </w:r>
      <w:r>
        <w:t xml:space="preserve"> </w:t>
      </w:r>
      <w:r>
        <w:t xml:space="preserve">App Software segment shows +5% organic growth, but embedded within it are:</w:t>
      </w:r>
      <w:r>
        <w:t xml:space="preserve"> </w:t>
      </w:r>
      <w:r>
        <w:t xml:space="preserve">- Deltek (likely flat-to-declining, per management commentary</w:t>
      </w:r>
      <w:r>
        <w:t xml:space="preserve"> </w:t>
      </w:r>
      <w:r>
        <w:t xml:space="preserve">“</w:t>
      </w:r>
      <w:r>
        <w:t xml:space="preserve">no improvement</w:t>
      </w:r>
      <w:r>
        <w:t xml:space="preserve">”</w:t>
      </w:r>
      <w:r>
        <w:t xml:space="preserve"> </w:t>
      </w:r>
      <w:r>
        <w:t xml:space="preserve">in FY2026 guidance [Management Guidance])</w:t>
      </w:r>
      <w:r>
        <w:t xml:space="preserve"> </w:t>
      </w:r>
      <w:r>
        <w:t xml:space="preserve">- Procare (implementation delays suggest organic headwinds, but no growth rate disclosed)</w:t>
      </w:r>
      <w:r>
        <w:t xml:space="preserve"> </w:t>
      </w:r>
      <w:r>
        <w:t xml:space="preserve">- Anixter’s software division (legacy business, presumed low-single-digit growth)</w:t>
      </w:r>
    </w:p>
    <w:p>
      <w:pPr>
        <w:pStyle w:val="BodyText"/>
      </w:pPr>
      <w:r>
        <w:t xml:space="preserve">True growth momentum may be concentrated in 1-2 high-growth businesses, masking drag elsewhere. Cannot assess competitive positioning or M&amp;A integration success without unit-level transparency.</w:t>
      </w:r>
    </w:p>
    <w:p>
      <w:pPr>
        <w:pStyle w:val="BodyText"/>
      </w:pPr>
      <w:r>
        <w:rPr>
          <w:b/>
        </w:rPr>
        <w:t xml:space="preserve">Financial Impact if Gap Filled:</w:t>
      </w:r>
      <w:r>
        <w:t xml:space="preserve"> </w:t>
      </w:r>
      <w:r>
        <w:t xml:space="preserve">If Deltek is actually -2% organic and Procare is +15%, blended segment CAGR reveals competitive fragility in Deltek. Valuation haircut = -$2-3B if growth realization is narrower than disclosed.</w:t>
      </w:r>
    </w:p>
    <w:p>
      <w:pPr>
        <w:pStyle w:val="BodyText"/>
      </w:pPr>
      <w:r>
        <w:rPr>
          <w:b/>
        </w:rPr>
        <w:t xml:space="preserve">Investor Action:</w:t>
      </w:r>
      <w:r>
        <w:t xml:space="preserve"> </w:t>
      </w:r>
      <w:r>
        <w:t xml:space="preserve">Request investor day presentations with business unit P&amp;L (even if anonymized); track quarterly management commentary for unit-level updates.</w:t>
      </w:r>
    </w:p>
    <w:p>
      <w:r>
        <w:pict>
          <v:rect style="width:0;height:1.5pt" o:hralign="center" o:hrstd="t" o:hr="t"/>
        </w:pict>
      </w:r>
    </w:p>
    <w:p>
      <w:pPr>
        <w:pStyle w:val="Heading4"/>
      </w:pPr>
      <w:bookmarkStart w:id="146" w:name="X468bac436d0fe40c0cfc31fc531c7dcf2425007"/>
      <w:r>
        <w:t xml:space="preserve">3. CAC (Customer Acquisition Cost), LTV (Lifetime Value), and SaaS Expansion Metrics</w:t>
      </w:r>
      <w:bookmarkEnd w:id="146"/>
    </w:p>
    <w:p>
      <w:pPr>
        <w:pStyle w:val="FirstParagraph"/>
      </w:pPr>
      <w:r>
        <w:rPr>
          <w:b/>
        </w:rPr>
        <w:t xml:space="preserve">What’s Missing:</w:t>
      </w:r>
      <w:r>
        <w:t xml:space="preserve"> </w:t>
      </w:r>
      <w:r>
        <w:t xml:space="preserve">CAC payback period, Magic Number (ARR growth / S&amp;M spend), rule-of-40 compliance (growth rate + margin), and ARR / ACV trends.</w:t>
      </w:r>
    </w:p>
    <w:p>
      <w:pPr>
        <w:pStyle w:val="BodyText"/>
      </w:pPr>
      <w:r>
        <w:rPr>
          <w:b/>
        </w:rPr>
        <w:t xml:space="preserve">Why It Matters:</w:t>
      </w:r>
      <w:r>
        <w:t xml:space="preserve"> </w:t>
      </w:r>
      <w:r>
        <w:t xml:space="preserve">Enterprise software’s real value is reflected in unit economics, not aggregate EBITDA. If CAC payback is &gt;24 months and Magic Number &lt;1.0, growth is economically unviable at current margins. Rule-of-40 (growth % + EBITDA margin % &gt;40) is Roper’s self-imposed benchmark; transparency on achievement would validate thesis.</w:t>
      </w:r>
    </w:p>
    <w:p>
      <w:pPr>
        <w:pStyle w:val="BodyText"/>
      </w:pPr>
      <w:r>
        <w:rPr>
          <w:b/>
        </w:rPr>
        <w:t xml:space="preserve">Current Proxy (from available data):</w:t>
      </w:r>
      <w:r>
        <w:t xml:space="preserve"> </w:t>
      </w:r>
      <w:r>
        <w:t xml:space="preserve">- S&amp;M spend (est.): Not disclosed; assume ~15-18% of recurring revenue = $800-950M annually</w:t>
      </w:r>
      <w:r>
        <w:t xml:space="preserve"> </w:t>
      </w:r>
      <w:r>
        <w:t xml:space="preserve">- Recurring revenue growth: +6% organic = $320M incremental revenue</w:t>
      </w:r>
      <w:r>
        <w:t xml:space="preserve"> </w:t>
      </w:r>
      <w:r>
        <w:t xml:space="preserve">- Magic Number (est.): $320M / $850M S&amp;M ≈</w:t>
      </w:r>
      <w:r>
        <w:t xml:space="preserve"> </w:t>
      </w:r>
      <w:r>
        <w:rPr>
          <w:b/>
        </w:rPr>
        <w:t xml:space="preserve">0.38x</w:t>
      </w:r>
      <w:r>
        <w:t xml:space="preserve"> </w:t>
      </w:r>
      <w:r>
        <w:t xml:space="preserve">(weak, suggests either high CAC or low expansion efficiency)</w:t>
      </w:r>
      <w:r>
        <w:t xml:space="preserve"> </w:t>
      </w:r>
      <w:r>
        <w:t xml:space="preserve">- Rule-of-40: +5.6% organic growth + 39.8% EBITDA margin =</w:t>
      </w:r>
      <w:r>
        <w:t xml:space="preserve"> </w:t>
      </w:r>
      <w:r>
        <w:rPr>
          <w:b/>
        </w:rPr>
        <w:t xml:space="preserve">45.4%</w:t>
      </w:r>
      <w:r>
        <w:t xml:space="preserve"> </w:t>
      </w:r>
      <w:r>
        <w:t xml:space="preserve">(meets target, but largely driven by margin, not growth)</w:t>
      </w:r>
    </w:p>
    <w:p>
      <w:pPr>
        <w:pStyle w:val="BodyText"/>
      </w:pPr>
      <w:r>
        <w:rPr>
          <w:b/>
        </w:rPr>
        <w:t xml:space="preserve">Financial Impact if Gap Filled:</w:t>
      </w:r>
      <w:r>
        <w:t xml:space="preserve"> </w:t>
      </w:r>
      <w:r>
        <w:t xml:space="preserve">If Magic Number reveals poor unit economics, valuation multiple should compress 15-25% (reflects unsustainable growth). If unit economics are actually strong (Magic Number &gt;0.7), valuation supports upside.</w:t>
      </w:r>
    </w:p>
    <w:p>
      <w:pPr>
        <w:pStyle w:val="BodyText"/>
      </w:pPr>
      <w:r>
        <w:rPr>
          <w:b/>
        </w:rPr>
        <w:t xml:space="preserve">Investor Action:</w:t>
      </w:r>
      <w:r>
        <w:t xml:space="preserve"> </w:t>
      </w:r>
      <w:r>
        <w:t xml:space="preserve">Request SaaS metrics (ARR, ACV, NDR, CAC payback) at investor day; use proxy metrics (S&amp;M as % of revenue, organic growth) to infer Magic Number.</w:t>
      </w:r>
    </w:p>
    <w:p>
      <w:r>
        <w:pict>
          <v:rect style="width:0;height:1.5pt" o:hralign="center" o:hrstd="t" o:hr="t"/>
        </w:pict>
      </w:r>
    </w:p>
    <w:p>
      <w:pPr>
        <w:pStyle w:val="Heading4"/>
      </w:pPr>
      <w:bookmarkStart w:id="147" w:name="Xa008f2a22b73ec0b30ccc5557ad5969ddf38489"/>
      <w:r>
        <w:t xml:space="preserve">4. AI Revenue Attribution &amp; Quantified AI Roadmap</w:t>
      </w:r>
      <w:bookmarkEnd w:id="147"/>
    </w:p>
    <w:p>
      <w:pPr>
        <w:pStyle w:val="FirstParagraph"/>
      </w:pPr>
      <w:r>
        <w:rPr>
          <w:b/>
        </w:rPr>
        <w:t xml:space="preserve">What’s Missing:</w:t>
      </w:r>
      <w:r>
        <w:t xml:space="preserve"> </w:t>
      </w:r>
      <w:r>
        <w:t xml:space="preserve">Dollar amount of AI-enabled revenue in FY2025, customer adoption rates for AI features, product development spending on AI, and roadmap for FY2026-2027.</w:t>
      </w:r>
    </w:p>
    <w:p>
      <w:pPr>
        <w:pStyle w:val="BodyText"/>
      </w:pPr>
      <w:r>
        <w:rPr>
          <w:b/>
        </w:rPr>
        <w:t xml:space="preserve">Why It Matters:</w:t>
      </w:r>
      <w:r>
        <w:t xml:space="preserve"> </w:t>
      </w:r>
      <w:r>
        <w:t xml:space="preserve">Management commentary states AI is</w:t>
      </w:r>
      <w:r>
        <w:t xml:space="preserve"> </w:t>
      </w:r>
      <w:r>
        <w:t xml:space="preserve">“</w:t>
      </w:r>
      <w:r>
        <w:t xml:space="preserve">embedded in workflows</w:t>
      </w:r>
      <w:r>
        <w:t xml:space="preserve">”</w:t>
      </w:r>
      <w:r>
        <w:t xml:space="preserve"> </w:t>
      </w:r>
      <w:r>
        <w:t xml:space="preserve">and notes hire of AI accelerator team [Management Commentary]. However, zero revenue attributed to AI in any segment, and guidance explicitly assumes</w:t>
      </w:r>
      <w:r>
        <w:t xml:space="preserve"> </w:t>
      </w:r>
      <w:r>
        <w:t xml:space="preserve">“</w:t>
      </w:r>
      <w:r>
        <w:t xml:space="preserve">no AI revenue uplift</w:t>
      </w:r>
      <w:r>
        <w:t xml:space="preserve">”</w:t>
      </w:r>
      <w:r>
        <w:t xml:space="preserve"> </w:t>
      </w:r>
      <w:r>
        <w:t xml:space="preserve">[Management Guidance]. This suggests either:</w:t>
      </w:r>
      <w:r>
        <w:t xml:space="preserve"> </w:t>
      </w:r>
      <w:r>
        <w:t xml:space="preserve">1. AI features are immature and not revenue-accretive yet (2-3 year horizon), or</w:t>
      </w:r>
      <w:r>
        <w:t xml:space="preserve"> </w:t>
      </w:r>
      <w:r>
        <w:t xml:space="preserve">2. AI is feature-level, not product-level, and won’t move revenue needles.</w:t>
      </w:r>
    </w:p>
    <w:p>
      <w:pPr>
        <w:pStyle w:val="BodyText"/>
      </w:pPr>
      <w:r>
        <w:t xml:space="preserve">Without quantified roadmap, cannot assess AI as 5+ year structural tailwind (Section 6) or dismiss as hype.</w:t>
      </w:r>
    </w:p>
    <w:p>
      <w:pPr>
        <w:pStyle w:val="BodyText"/>
      </w:pPr>
      <w:r>
        <w:rPr>
          <w:b/>
        </w:rPr>
        <w:t xml:space="preserve">Financial Impact if Gap Filled:</w:t>
      </w:r>
      <w:r>
        <w:t xml:space="preserve"> </w:t>
      </w:r>
      <w:r>
        <w:t xml:space="preserve">AI revenue of just 1-2% of total revenue by FY2027 (~$80-160M) could justify +$3-5B valuation uplift (using 10-12x EV/revenue multiple for AI software). Conversely, if AI fails to drive material revenue by FY2027, thesis deteriorates and valuation compresses -$2-3B.</w:t>
      </w:r>
    </w:p>
    <w:p>
      <w:pPr>
        <w:pStyle w:val="BodyText"/>
      </w:pPr>
      <w:r>
        <w:rPr>
          <w:b/>
        </w:rPr>
        <w:t xml:space="preserve">Investor Action:</w:t>
      </w:r>
      <w:r>
        <w:t xml:space="preserve"> </w:t>
      </w:r>
      <w:r>
        <w:t xml:space="preserve">Press management in quarterly calls for AI adoption metrics, customer use case examples, and product roadmap visibility; request internal AI spend as % of R&amp;D.</w:t>
      </w:r>
    </w:p>
    <w:p>
      <w:r>
        <w:pict>
          <v:rect style="width:0;height:1.5pt" o:hralign="center" o:hrstd="t" o:hr="t"/>
        </w:pict>
      </w:r>
    </w:p>
    <w:p>
      <w:pPr>
        <w:pStyle w:val="Heading4"/>
      </w:pPr>
      <w:bookmarkStart w:id="148" w:name="Xd147dbdc7d2ee1fe42f388a752f3cdb6c935bdd"/>
      <w:r>
        <w:t xml:space="preserve">5. Organic Growth Trend Direction &amp; Quarterly Momentum</w:t>
      </w:r>
      <w:bookmarkEnd w:id="148"/>
    </w:p>
    <w:p>
      <w:pPr>
        <w:pStyle w:val="FirstParagraph"/>
      </w:pPr>
      <w:r>
        <w:rPr>
          <w:b/>
        </w:rPr>
        <w:t xml:space="preserve">What’s Missing:</w:t>
      </w:r>
      <w:r>
        <w:t xml:space="preserve"> </w:t>
      </w:r>
      <w:r>
        <w:t xml:space="preserve">Quarterly organic growth trends for last 8 quarters; visibility to whether organic is accelerating or decelerating; management commentary on FY2025 organic growth composition (price vs. volume).</w:t>
      </w:r>
    </w:p>
    <w:p>
      <w:pPr>
        <w:pStyle w:val="BodyText"/>
      </w:pPr>
      <w:r>
        <w:rPr>
          <w:b/>
        </w:rPr>
        <w:t xml:space="preserve">Why It Matters:</w:t>
      </w:r>
      <w:r>
        <w:t xml:space="preserve"> </w:t>
      </w:r>
      <w:r>
        <w:t xml:space="preserve">Annual organic growth of +5.6% aggregates FY2025 [calc from 10-K]. But is it +7% in Q1, +4% in Q2, +3% in Q3, +6% in Q4? Or is it decelerating (e.g., +8% → +4% across quarters)? This determines whether FY2026 +5-6% guidance is stabilization (improving) or deceleration (concerning).</w:t>
      </w:r>
    </w:p>
    <w:p>
      <w:pPr>
        <w:pStyle w:val="BodyText"/>
      </w:pPr>
      <w:r>
        <w:rPr>
          <w:b/>
        </w:rPr>
        <w:t xml:space="preserve">Current Data:</w:t>
      </w:r>
      <w:r>
        <w:t xml:space="preserve"> </w:t>
      </w:r>
      <w:r>
        <w:t xml:space="preserve">Only annual data disclosed. Cannot assess trajectory.</w:t>
      </w:r>
    </w:p>
    <w:p>
      <w:pPr>
        <w:pStyle w:val="BodyText"/>
      </w:pPr>
      <w:r>
        <w:rPr>
          <w:b/>
        </w:rPr>
        <w:t xml:space="preserve">Financial Impact if Gap Filled:</w:t>
      </w:r>
      <w:r>
        <w:t xml:space="preserve"> </w:t>
      </w:r>
      <w:r>
        <w:t xml:space="preserve">If organic growth is decelerating quarter-over-quarter (from +7% to +4%), FY2026 guidance of +5-6% implies further deceleration to +3-4% by year-end. Valuation haircut = -$5-8B if organic is rolling over. Conversely, if Q4 2025 organic was +8%+, FY2026 guidance is conservative and valuation could support 15-20% upside.</w:t>
      </w:r>
    </w:p>
    <w:p>
      <w:pPr>
        <w:pStyle w:val="BodyText"/>
      </w:pPr>
      <w:r>
        <w:rPr>
          <w:b/>
        </w:rPr>
        <w:t xml:space="preserve">Investor Action:</w:t>
      </w:r>
      <w:r>
        <w:t xml:space="preserve"> </w:t>
      </w:r>
      <w:r>
        <w:t xml:space="preserve">Request quarterly organic growth breakdown in quarterly earnings releases; calculate sequential organic growth trends to identify momentum inflection points.</w:t>
      </w:r>
    </w:p>
    <w:p>
      <w:r>
        <w:pict>
          <v:rect style="width:0;height:1.5pt" o:hralign="center" o:hrstd="t" o:hr="t"/>
        </w:pict>
      </w:r>
    </w:p>
    <w:p>
      <w:pPr>
        <w:pStyle w:val="Heading4"/>
      </w:pPr>
      <w:bookmarkStart w:id="149" w:name="X7f0d2d3818a159542b12db5c7952ee4cc00660f"/>
      <w:r>
        <w:t xml:space="preserve">6. Procare Acquisition Economics &amp; CentralReach Integration Timeline</w:t>
      </w:r>
      <w:bookmarkEnd w:id="149"/>
    </w:p>
    <w:p>
      <w:pPr>
        <w:pStyle w:val="FirstParagraph"/>
      </w:pPr>
      <w:r>
        <w:rPr>
          <w:b/>
        </w:rPr>
        <w:t xml:space="preserve">What’s Missing:</w:t>
      </w:r>
      <w:r>
        <w:t xml:space="preserve"> </w:t>
      </w:r>
      <w:r>
        <w:t xml:space="preserve">Procare acquisition date, purchase price, original deal model assumptions (revenue, EBITDA, payback period), current run-rate metrics, and remediation plan for</w:t>
      </w:r>
      <w:r>
        <w:t xml:space="preserve"> </w:t>
      </w:r>
      <w:r>
        <w:t xml:space="preserve">“</w:t>
      </w:r>
      <w:r>
        <w:t xml:space="preserve">implementation delays.</w:t>
      </w:r>
      <w:r>
        <w:t xml:space="preserve">”</w:t>
      </w:r>
    </w:p>
    <w:p>
      <w:pPr>
        <w:pStyle w:val="BodyText"/>
      </w:pPr>
      <w:r>
        <w:rPr>
          <w:b/>
        </w:rPr>
        <w:t xml:space="preserve">Why It Matters:</w:t>
      </w:r>
      <w:r>
        <w:t xml:space="preserve"> </w:t>
      </w:r>
      <w:r>
        <w:t xml:space="preserve">Procare is a major acquisition (likely $500M-1B+ given prominence in management commentary) within App Software. Implementation delays suggest either:</w:t>
      </w:r>
      <w:r>
        <w:t xml:space="preserve"> </w:t>
      </w:r>
      <w:r>
        <w:t xml:space="preserve">- Customer churn risk (smaller AUM per customer)</w:t>
      </w:r>
      <w:r>
        <w:t xml:space="preserve"> </w:t>
      </w:r>
      <w:r>
        <w:t xml:space="preserve">- Margin pressure (implementation spend exceeding plan)</w:t>
      </w:r>
      <w:r>
        <w:t xml:space="preserve"> </w:t>
      </w:r>
      <w:r>
        <w:t xml:space="preserve">- Revenue recognition issues (delayed go-live = delayed revenue)</w:t>
      </w:r>
    </w:p>
    <w:p>
      <w:pPr>
        <w:pStyle w:val="BodyText"/>
      </w:pPr>
      <w:r>
        <w:t xml:space="preserve">Without original deal model, cannot assess whether acquisition is on track, behind, or in jeopardy. CentralReach is stated to be</w:t>
      </w:r>
      <w:r>
        <w:t xml:space="preserve"> </w:t>
      </w:r>
      <w:r>
        <w:t xml:space="preserve">“</w:t>
      </w:r>
      <w:r>
        <w:t xml:space="preserve">ahead of deal model,</w:t>
      </w:r>
      <w:r>
        <w:t xml:space="preserve">”</w:t>
      </w:r>
      <w:r>
        <w:t xml:space="preserve"> </w:t>
      </w:r>
      <w:r>
        <w:t xml:space="preserve">but no baseline provided.</w:t>
      </w:r>
    </w:p>
    <w:p>
      <w:pPr>
        <w:pStyle w:val="BodyText"/>
      </w:pPr>
      <w:r>
        <w:rPr>
          <w:b/>
        </w:rPr>
        <w:t xml:space="preserve">Financial Impact if Gap Filled:</w:t>
      </w:r>
      <w:r>
        <w:t xml:space="preserve"> </w:t>
      </w:r>
      <w:r>
        <w:t xml:space="preserve">If Procare deal model assumed +15% revenue growth and current organic is -5%, incremental value loss = 20% × deal economics = $100-200M EV haircut. Conversely, if Procare is ahead and integrating faster, +$100-200M upside.</w:t>
      </w:r>
    </w:p>
    <w:p>
      <w:pPr>
        <w:pStyle w:val="BodyText"/>
      </w:pPr>
      <w:r>
        <w:rPr>
          <w:b/>
        </w:rPr>
        <w:t xml:space="preserve">Investor Action:</w:t>
      </w:r>
      <w:r>
        <w:t xml:space="preserve"> </w:t>
      </w:r>
      <w:r>
        <w:t xml:space="preserve">Request Procare acquisition summary (price, date, deal assumptions, current run-rate) in investor day; track quarterly Procare revenue/margin reporting if broken out separately.</w:t>
      </w:r>
    </w:p>
    <w:p>
      <w:r>
        <w:pict>
          <v:rect style="width:0;height:1.5pt" o:hralign="center" o:hrstd="t" o:hr="t"/>
        </w:pict>
      </w:r>
    </w:p>
    <w:p>
      <w:pPr>
        <w:pStyle w:val="Heading3"/>
      </w:pPr>
      <w:bookmarkStart w:id="150" w:name="secondary-gaps"/>
      <w:r>
        <w:t xml:space="preserve">SECONDARY GAPS</w:t>
      </w:r>
      <w:bookmarkEnd w:id="150"/>
    </w:p>
    <w:p>
      <w:pPr>
        <w:pStyle w:val="Heading4"/>
      </w:pPr>
      <w:bookmarkStart w:id="151" w:name="ma-pipeline-specifics-deal-probability"/>
      <w:r>
        <w:t xml:space="preserve">7. M&amp;A Pipeline Specifics &amp; Deal Probability</w:t>
      </w:r>
      <w:bookmarkEnd w:id="151"/>
    </w:p>
    <w:p>
      <w:pPr>
        <w:pStyle w:val="FirstParagraph"/>
      </w:pPr>
      <w:r>
        <w:rPr>
          <w:b/>
        </w:rPr>
        <w:t xml:space="preserve">What’s Missing:</w:t>
      </w:r>
      <w:r>
        <w:t xml:space="preserve"> </w:t>
      </w:r>
      <w:r>
        <w:t xml:space="preserve">Names of potential acquisition targets, pipeline size ($), deal probability/staging, synergy assumptions, and financing constraints.</w:t>
      </w:r>
    </w:p>
    <w:p>
      <w:pPr>
        <w:pStyle w:val="BodyText"/>
      </w:pPr>
      <w:r>
        <w:rPr>
          <w:b/>
        </w:rPr>
        <w:t xml:space="preserve">Why It Matters:</w:t>
      </w:r>
      <w:r>
        <w:t xml:space="preserve"> </w:t>
      </w:r>
      <w:r>
        <w:t xml:space="preserve">Management states</w:t>
      </w:r>
      <w:r>
        <w:t xml:space="preserve"> </w:t>
      </w:r>
      <w:r>
        <w:t xml:space="preserve">“</w:t>
      </w:r>
      <w:r>
        <w:t xml:space="preserve">robust</w:t>
      </w:r>
      <w:r>
        <w:t xml:space="preserve">”</w:t>
      </w:r>
      <w:r>
        <w:t xml:space="preserve"> </w:t>
      </w:r>
      <w:r>
        <w:t xml:space="preserve">M&amp;A pipeline with</w:t>
      </w:r>
      <w:r>
        <w:t xml:space="preserve"> </w:t>
      </w:r>
      <w:r>
        <w:t xml:space="preserve">“</w:t>
      </w:r>
      <w:r>
        <w:t xml:space="preserve">PE pressure to sell creating opportunities</w:t>
      </w:r>
      <w:r>
        <w:t xml:space="preserve">”</w:t>
      </w:r>
      <w:r>
        <w:t xml:space="preserve"> </w:t>
      </w:r>
      <w:r>
        <w:t xml:space="preserve">[Management Commentary]. However, no quantified pipeline disclosed. Forward capacity of $6B+ [Capital Deployment] suggests significant dry powder, but deal probability unknown.</w:t>
      </w:r>
    </w:p>
    <w:p>
      <w:pPr>
        <w:pStyle w:val="BodyText"/>
      </w:pPr>
      <w:r>
        <w:rPr>
          <w:b/>
        </w:rPr>
        <w:t xml:space="preserve">Financial Impact:</w:t>
      </w:r>
      <w:r>
        <w:t xml:space="preserve"> </w:t>
      </w:r>
      <w:r>
        <w:t xml:space="preserve">If $2-3B in acquisitions close in FY2026 (vs. FY2025 run-rate of ~$3B), revenue upside = $200-400M but EBITDA margin compression of 100-200 bps due to integration. Net impact = modest EV upside of $1-2B if synergies materialize. If no deals close, FCF is higher (+$200-300M) and leverage declines, modestly positive for valuation.</w:t>
      </w:r>
    </w:p>
    <w:p>
      <w:pPr>
        <w:pStyle w:val="BodyText"/>
      </w:pPr>
      <w:r>
        <w:rPr>
          <w:b/>
        </w:rPr>
        <w:t xml:space="preserve">Investor Action:</w:t>
      </w:r>
      <w:r>
        <w:t xml:space="preserve"> </w:t>
      </w:r>
      <w:r>
        <w:t xml:space="preserve">Monitor quarterly deal announcements; estimate M&amp;A timing and size from capital deployment commentary.</w:t>
      </w:r>
    </w:p>
    <w:p>
      <w:r>
        <w:pict>
          <v:rect style="width:0;height:1.5pt" o:hralign="center" o:hrstd="t" o:hr="t"/>
        </w:pict>
      </w:r>
    </w:p>
    <w:p>
      <w:pPr>
        <w:pStyle w:val="Heading4"/>
      </w:pPr>
      <w:bookmarkStart w:id="152" w:name="leverage-path-covenant-headroom"/>
      <w:r>
        <w:t xml:space="preserve">8. Leverage Path &amp; Covenant Headroom</w:t>
      </w:r>
      <w:bookmarkEnd w:id="152"/>
    </w:p>
    <w:p>
      <w:pPr>
        <w:pStyle w:val="FirstParagraph"/>
      </w:pPr>
      <w:r>
        <w:rPr>
          <w:b/>
        </w:rPr>
        <w:t xml:space="preserve">What’s Missing:</w:t>
      </w:r>
      <w:r>
        <w:t xml:space="preserve"> </w:t>
      </w:r>
      <w:r>
        <w:t xml:space="preserve">Debt maturity schedule, refinancing needs (years 1-3), covenant definitions (leverage ratio, interest coverage), and headroom cushion to covenant breach.</w:t>
      </w:r>
    </w:p>
    <w:p>
      <w:pPr>
        <w:pStyle w:val="BodyText"/>
      </w:pPr>
      <w:r>
        <w:rPr>
          <w:b/>
        </w:rPr>
        <w:t xml:space="preserve">Why It Matters:</w:t>
      </w:r>
      <w:r>
        <w:t xml:space="preserve"> </w:t>
      </w:r>
      <w:r>
        <w:t xml:space="preserve">Current net debt of $9.854B (2.9x net debt/EBITDA [10-K]) is elevated. If EBITDA decelerates or leverage covenants are tight (e.g., &lt;3.5x), company faces capital allocation constraints (no buybacks, limited M&amp;A, mandatory deleveraging).</w:t>
      </w:r>
    </w:p>
    <w:p>
      <w:pPr>
        <w:pStyle w:val="BodyText"/>
      </w:pPr>
      <w:r>
        <w:rPr>
          <w:b/>
        </w:rPr>
        <w:t xml:space="preserve">Financial Impact:</w:t>
      </w:r>
      <w:r>
        <w:t xml:space="preserve"> </w:t>
      </w:r>
      <w:r>
        <w:t xml:space="preserve">If leverage rises to 3.5x and covenant headroom shrinks to &lt;0.5x, company is forced to halt buybacks ($500M/yr [Capital Deployment]) and reduce M&amp;A. FCF + deleveraging becomes primary capital allocation goal. Equity upside is capped by leverage risk until net debt/EBITDA falls below 2.5x.</w:t>
      </w:r>
    </w:p>
    <w:p>
      <w:pPr>
        <w:pStyle w:val="BodyText"/>
      </w:pPr>
      <w:r>
        <w:rPr>
          <w:b/>
        </w:rPr>
        <w:t xml:space="preserve">Investor Action:</w:t>
      </w:r>
      <w:r>
        <w:t xml:space="preserve"> </w:t>
      </w:r>
      <w:r>
        <w:t xml:space="preserve">Request debt maturity schedule and covenant definitions in 10-K; model leverage path quarterly to assess covenant compliance and capital allocation flexibility.</w:t>
      </w:r>
    </w:p>
    <w:p>
      <w:r>
        <w:pict>
          <v:rect style="width:0;height:1.5pt" o:hralign="center" o:hrstd="t" o:hr="t"/>
        </w:pict>
      </w:r>
    </w:p>
    <w:p>
      <w:pPr>
        <w:pStyle w:val="Heading4"/>
      </w:pPr>
      <w:bookmarkStart w:id="153" w:name="X45aa1f3e4794c982766772f57939f6ed6dace42"/>
      <w:r>
        <w:t xml:space="preserve">9. Government Spending Forecast &amp; Deltek Dependency</w:t>
      </w:r>
      <w:bookmarkEnd w:id="153"/>
    </w:p>
    <w:p>
      <w:pPr>
        <w:pStyle w:val="FirstParagraph"/>
      </w:pPr>
      <w:r>
        <w:rPr>
          <w:b/>
        </w:rPr>
        <w:t xml:space="preserve">What’s Missing:</w:t>
      </w:r>
      <w:r>
        <w:t xml:space="preserve"> </w:t>
      </w:r>
      <w:r>
        <w:t xml:space="preserve">Deltek revenue as % of total Roper revenue, Deltek customer concentration (top 10 customers), federal IT budget correlation, and Deltek organic growth trend vs. management expectations.</w:t>
      </w:r>
    </w:p>
    <w:p>
      <w:pPr>
        <w:pStyle w:val="BodyText"/>
      </w:pPr>
      <w:r>
        <w:rPr>
          <w:b/>
        </w:rPr>
        <w:t xml:space="preserve">Why It Matters:</w:t>
      </w:r>
      <w:r>
        <w:t xml:space="preserve"> </w:t>
      </w:r>
      <w:r>
        <w:t xml:space="preserve">FY2026 guidance explicitly assumes</w:t>
      </w:r>
      <w:r>
        <w:t xml:space="preserve"> </w:t>
      </w:r>
      <w:r>
        <w:t xml:space="preserve">“</w:t>
      </w:r>
      <w:r>
        <w:t xml:space="preserve">no Deltek GovCon improvement</w:t>
      </w:r>
      <w:r>
        <w:t xml:space="preserve">”</w:t>
      </w:r>
      <w:r>
        <w:t xml:space="preserve"> </w:t>
      </w:r>
      <w:r>
        <w:t xml:space="preserve">[Management Guidance], implying street expectations are neutral. However, without Deltek revenue and growth data, cannot model upside/downside to this assumption.</w:t>
      </w:r>
    </w:p>
    <w:p>
      <w:pPr>
        <w:pStyle w:val="BodyText"/>
      </w:pPr>
      <w:r>
        <w:rPr>
          <w:b/>
        </w:rPr>
        <w:t xml:space="preserve">Financial Impact:</w:t>
      </w:r>
      <w:r>
        <w:t xml:space="preserve"> </w:t>
      </w:r>
      <w:r>
        <w:t xml:space="preserve">Deltek likely represents $1.1-1.3B of App Software ($4.483B [10-K]). If Deltek is +3% organic (vs. flat assumption), incremental revenue = $33-39M, EBITDA = $15-19M. Over 3 years, $45-60M EBITDA upside = $600-800M EV uplift (at 13.5x multiple). Conversely, if Deltek declines -5%, EBITDA downside = $50-60M = -$675-800M EV.</w:t>
      </w:r>
    </w:p>
    <w:p>
      <w:pPr>
        <w:pStyle w:val="BodyText"/>
      </w:pPr>
      <w:r>
        <w:rPr>
          <w:b/>
        </w:rPr>
        <w:t xml:space="preserve">Investor Action:</w:t>
      </w:r>
      <w:r>
        <w:t xml:space="preserve"> </w:t>
      </w:r>
      <w:r>
        <w:t xml:space="preserve">Request Deltek revenue and growth disclosure; model sensitivity to federal IT budget appropriations (CBO forecasts).</w:t>
      </w:r>
    </w:p>
    <w:p>
      <w:r>
        <w:pict>
          <v:rect style="width:0;height:1.5pt" o:hralign="center" o:hrstd="t" o:hr="t"/>
        </w:pict>
      </w:r>
    </w:p>
    <w:p>
      <w:pPr>
        <w:pStyle w:val="Heading4"/>
      </w:pPr>
      <w:bookmarkStart w:id="154" w:name="goodwill-impairment-sensitivity"/>
      <w:r>
        <w:t xml:space="preserve">10. Goodwill Impairment Sensitivity</w:t>
      </w:r>
      <w:bookmarkEnd w:id="154"/>
    </w:p>
    <w:p>
      <w:pPr>
        <w:pStyle w:val="FirstParagraph"/>
      </w:pPr>
      <w:r>
        <w:rPr>
          <w:b/>
        </w:rPr>
        <w:t xml:space="preserve">What’s Missing:</w:t>
      </w:r>
      <w:r>
        <w:t xml:space="preserve"> </w:t>
      </w:r>
      <w:r>
        <w:t xml:space="preserve">Goodwill by acquisition cohort, fair value assessment methodology, implied discount rate assumptions in prior impairment tests, and sensitivity analysis (e.g., revenue growth -200 bps = impairment trigger).</w:t>
      </w:r>
    </w:p>
    <w:p>
      <w:pPr>
        <w:pStyle w:val="BodyText"/>
      </w:pPr>
      <w:r>
        <w:rPr>
          <w:b/>
        </w:rPr>
        <w:t xml:space="preserve">Why It Matters:</w:t>
      </w:r>
      <w:r>
        <w:t xml:space="preserve"> </w:t>
      </w:r>
      <w:r>
        <w:t xml:space="preserve">Goodwill of $21.341B (62% of total assets, $30.9B [10-K]) is the largest balance sheet item. Annual impairment test (FY-end) compares fair value to book value. If any acquisition cohort (e.g., Procare, CentralReach, Deltek acquisitions) experiences revenue miss or margin compression, impairment is likely.</w:t>
      </w:r>
    </w:p>
    <w:p>
      <w:pPr>
        <w:pStyle w:val="BodyText"/>
      </w:pPr>
      <w:r>
        <w:rPr>
          <w:b/>
        </w:rPr>
        <w:t xml:space="preserve">Financial Impact:</w:t>
      </w:r>
      <w:r>
        <w:t xml:space="preserve"> </w:t>
      </w:r>
      <w:r>
        <w:t xml:space="preserve">10% goodwill impairment = $2.1B charge, ~2 years of earnings. GAAP EPS impact = -$16-20/share. Adjusted DEPS unaffected, but confidence erosion and potential covenant breach if GAAP leverage ratios are covenanted.</w:t>
      </w:r>
    </w:p>
    <w:p>
      <w:pPr>
        <w:pStyle w:val="BodyText"/>
      </w:pPr>
      <w:r>
        <w:rPr>
          <w:b/>
        </w:rPr>
        <w:t xml:space="preserve">Investor Action:</w:t>
      </w:r>
      <w:r>
        <w:t xml:space="preserve"> </w:t>
      </w:r>
      <w:r>
        <w:t xml:space="preserve">Request impairment test documentation (fair value assessment) in 10-K; model quarterly organic growth by major acquisition cohort to assess impairment risk.</w:t>
      </w:r>
    </w:p>
    <w:p>
      <w:r>
        <w:pict>
          <v:rect style="width:0;height:1.5pt" o:hralign="center" o:hrstd="t" o:hr="t"/>
        </w:pict>
      </w:r>
    </w:p>
    <w:p>
      <w:pPr>
        <w:pStyle w:val="Heading3"/>
      </w:pPr>
      <w:bookmarkStart w:id="155" w:name="summary-table-data-gaps-investor-actions"/>
      <w:r>
        <w:t xml:space="preserve">SUMMARY TABLE: DATA GAPS &amp; INVESTOR ACTIONS</w:t>
      </w:r>
      <w:bookmarkEnd w:id="155"/>
    </w:p>
    <w:tbl>
      <w:tblPr>
        <w:tblStyle w:val="Table"/>
        <w:tblW w:type="pct" w:w="5000.0"/>
        <w:tblLook w:firstRow="1"/>
      </w:tblPr>
      <w:tblGrid>
        <w:gridCol w:w="1200"/>
        <w:gridCol w:w="2880"/>
        <w:gridCol w:w="2400"/>
        <w:gridCol w:w="720"/>
        <w:gridCol w:w="720"/>
      </w:tblGrid>
      <w:tr>
        <w:trPr>
          <w:cnfStyle w:firstRow="1"/>
        </w:trPr>
        <w:tc>
          <w:tcPr>
            <w:tcBorders>
              <w:bottom w:val="single"/>
            </w:tcBorders>
            <w:vAlign w:val="bottom"/>
          </w:tcPr>
          <w:p>
            <w:pPr>
              <w:pStyle w:val="Compact"/>
              <w:jc w:val="left"/>
            </w:pPr>
            <w:r>
              <w:t xml:space="preserve">Gap</w:t>
            </w:r>
          </w:p>
        </w:tc>
        <w:tc>
          <w:tcPr>
            <w:tcBorders>
              <w:bottom w:val="single"/>
            </w:tcBorders>
            <w:vAlign w:val="bottom"/>
          </w:tcPr>
          <w:p>
            <w:pPr>
              <w:pStyle w:val="Compact"/>
              <w:jc w:val="left"/>
            </w:pPr>
            <w:r>
              <w:t xml:space="preserve">Materiality</w:t>
            </w:r>
          </w:p>
        </w:tc>
        <w:tc>
          <w:tcPr>
            <w:tcBorders>
              <w:bottom w:val="single"/>
            </w:tcBorders>
            <w:vAlign w:val="bottom"/>
          </w:tcPr>
          <w:p>
            <w:pPr>
              <w:pStyle w:val="Compact"/>
              <w:jc w:val="left"/>
            </w:pPr>
            <w:r>
              <w:t xml:space="preserve">Data Source</w:t>
            </w:r>
          </w:p>
        </w:tc>
        <w:tc>
          <w:tcPr>
            <w:tcBorders>
              <w:bottom w:val="single"/>
            </w:tcBorders>
            <w:vAlign w:val="bottom"/>
          </w:tcPr>
          <w:p>
            <w:pPr>
              <w:pStyle w:val="Compact"/>
              <w:jc w:val="left"/>
            </w:pPr>
            <w:r>
              <w:t xml:space="preserve">Investor Action</w:t>
            </w:r>
          </w:p>
        </w:tc>
        <w:tc>
          <w:tcPr>
            <w:tcBorders>
              <w:bottom w:val="single"/>
            </w:tcBorders>
            <w:vAlign w:val="bottom"/>
          </w:tcPr>
          <w:p>
            <w:pPr>
              <w:pStyle w:val="Compact"/>
              <w:jc w:val="left"/>
            </w:pPr>
            <w:r>
              <w:t xml:space="preserve">Timeline</w:t>
            </w:r>
          </w:p>
        </w:tc>
      </w:tr>
      <w:tr>
        <w:tc>
          <w:p>
            <w:pPr>
              <w:pStyle w:val="Compact"/>
              <w:jc w:val="left"/>
            </w:pPr>
            <w:r>
              <w:t xml:space="preserve">Customer concentration by vertical</w:t>
            </w:r>
          </w:p>
        </w:tc>
        <w:tc>
          <w:p>
            <w:pPr>
              <w:pStyle w:val="Compact"/>
              <w:jc w:val="left"/>
            </w:pPr>
            <w:r>
              <w:t xml:space="preserve">High</w:t>
            </w:r>
          </w:p>
        </w:tc>
        <w:tc>
          <w:p>
            <w:pPr>
              <w:pStyle w:val="Compact"/>
              <w:jc w:val="left"/>
            </w:pPr>
            <w:r>
              <w:t xml:space="preserve">Investor relations</w:t>
            </w:r>
          </w:p>
        </w:tc>
        <w:tc>
          <w:p>
            <w:pPr>
              <w:pStyle w:val="Compact"/>
              <w:jc w:val="left"/>
            </w:pPr>
            <w:r>
              <w:t xml:space="preserve">Request concentration by top 10 customers</w:t>
            </w:r>
          </w:p>
        </w:tc>
        <w:tc>
          <w:p>
            <w:pPr>
              <w:pStyle w:val="Compact"/>
              <w:jc w:val="left"/>
            </w:pPr>
            <w:r>
              <w:t xml:space="preserve">Before rating</w:t>
            </w:r>
          </w:p>
        </w:tc>
      </w:tr>
      <w:tr>
        <w:tc>
          <w:p>
            <w:pPr>
              <w:pStyle w:val="Compact"/>
              <w:jc w:val="left"/>
            </w:pPr>
            <w:r>
              <w:t xml:space="preserve">Unit-level organic growth</w:t>
            </w:r>
          </w:p>
        </w:tc>
        <w:tc>
          <w:p>
            <w:pPr>
              <w:pStyle w:val="Compact"/>
              <w:jc w:val="left"/>
            </w:pPr>
            <w:r>
              <w:t xml:space="preserve">High</w:t>
            </w:r>
          </w:p>
        </w:tc>
        <w:tc>
          <w:p>
            <w:pPr>
              <w:pStyle w:val="Compact"/>
              <w:jc w:val="left"/>
            </w:pPr>
            <w:r>
              <w:t xml:space="preserve">Investor day</w:t>
            </w:r>
          </w:p>
        </w:tc>
        <w:tc>
          <w:p>
            <w:pPr>
              <w:pStyle w:val="Compact"/>
              <w:jc w:val="left"/>
            </w:pPr>
            <w:r>
              <w:t xml:space="preserve">Request business unit P&amp;L and organic rates</w:t>
            </w:r>
          </w:p>
        </w:tc>
        <w:tc>
          <w:p>
            <w:pPr>
              <w:pStyle w:val="Compact"/>
              <w:jc w:val="left"/>
            </w:pPr>
            <w:r>
              <w:t xml:space="preserve">Q1 2026 call</w:t>
            </w:r>
          </w:p>
        </w:tc>
      </w:tr>
      <w:tr>
        <w:tc>
          <w:p>
            <w:pPr>
              <w:pStyle w:val="Compact"/>
              <w:jc w:val="left"/>
            </w:pPr>
            <w:r>
              <w:t xml:space="preserve">SaaS unit economics (CAC, LTV, NDR)</w:t>
            </w:r>
          </w:p>
        </w:tc>
        <w:tc>
          <w:p>
            <w:pPr>
              <w:pStyle w:val="Compact"/>
              <w:jc w:val="left"/>
            </w:pPr>
            <w:r>
              <w:t xml:space="preserve">High</w:t>
            </w:r>
          </w:p>
        </w:tc>
        <w:tc>
          <w:p>
            <w:pPr>
              <w:pStyle w:val="Compact"/>
              <w:jc w:val="left"/>
            </w:pPr>
            <w:r>
              <w:t xml:space="preserve">Management commentary</w:t>
            </w:r>
          </w:p>
        </w:tc>
        <w:tc>
          <w:p>
            <w:pPr>
              <w:pStyle w:val="Compact"/>
              <w:jc w:val="left"/>
            </w:pPr>
            <w:r>
              <w:t xml:space="preserve">Calculate proxy metrics; press for transparency</w:t>
            </w:r>
          </w:p>
        </w:tc>
        <w:tc>
          <w:p>
            <w:pPr>
              <w:pStyle w:val="Compact"/>
              <w:jc w:val="left"/>
            </w:pPr>
            <w:r>
              <w:t xml:space="preserve">Q2 2026 call</w:t>
            </w:r>
          </w:p>
        </w:tc>
      </w:tr>
      <w:tr>
        <w:tc>
          <w:p>
            <w:pPr>
              <w:pStyle w:val="Compact"/>
              <w:jc w:val="left"/>
            </w:pPr>
            <w:r>
              <w:t xml:space="preserve">AI revenue attribution &amp; roadmap</w:t>
            </w:r>
          </w:p>
        </w:tc>
        <w:tc>
          <w:p>
            <w:pPr>
              <w:pStyle w:val="Compact"/>
              <w:jc w:val="left"/>
            </w:pPr>
            <w:r>
              <w:t xml:space="preserve">High</w:t>
            </w:r>
          </w:p>
        </w:tc>
        <w:tc>
          <w:p>
            <w:pPr>
              <w:pStyle w:val="Compact"/>
              <w:jc w:val="left"/>
            </w:pPr>
            <w:r>
              <w:t xml:space="preserve">Earnings call</w:t>
            </w:r>
          </w:p>
        </w:tc>
        <w:tc>
          <w:p>
            <w:pPr>
              <w:pStyle w:val="Compact"/>
              <w:jc w:val="left"/>
            </w:pPr>
            <w:r>
              <w:t xml:space="preserve">Request AI revenue % and FY2026-27 roadmap</w:t>
            </w:r>
          </w:p>
        </w:tc>
        <w:tc>
          <w:p>
            <w:pPr>
              <w:pStyle w:val="Compact"/>
              <w:jc w:val="left"/>
            </w:pPr>
            <w:r>
              <w:t xml:space="preserve">Next earnings</w:t>
            </w:r>
          </w:p>
        </w:tc>
      </w:tr>
      <w:tr>
        <w:tc>
          <w:p>
            <w:pPr>
              <w:pStyle w:val="Compact"/>
              <w:jc w:val="left"/>
            </w:pPr>
            <w:r>
              <w:t xml:space="preserve">Quarterly organic growth trends</w:t>
            </w:r>
          </w:p>
        </w:tc>
        <w:tc>
          <w:p>
            <w:pPr>
              <w:pStyle w:val="Compact"/>
              <w:jc w:val="left"/>
            </w:pPr>
            <w:r>
              <w:t xml:space="preserve">Medium</w:t>
            </w:r>
          </w:p>
        </w:tc>
        <w:tc>
          <w:p>
            <w:pPr>
              <w:pStyle w:val="Compact"/>
              <w:jc w:val="left"/>
            </w:pPr>
            <w:r>
              <w:t xml:space="preserve">Earnings releases</w:t>
            </w:r>
          </w:p>
        </w:tc>
        <w:tc>
          <w:p>
            <w:pPr>
              <w:pStyle w:val="Compact"/>
              <w:jc w:val="left"/>
            </w:pPr>
            <w:r>
              <w:t xml:space="preserve">Back-calculate from guidance; track momentum</w:t>
            </w:r>
          </w:p>
        </w:tc>
        <w:tc>
          <w:p>
            <w:pPr>
              <w:pStyle w:val="Compact"/>
              <w:jc w:val="left"/>
            </w:pPr>
            <w:r>
              <w:t xml:space="preserve">Ongoing</w:t>
            </w:r>
          </w:p>
        </w:tc>
      </w:tr>
      <w:tr>
        <w:tc>
          <w:p>
            <w:pPr>
              <w:pStyle w:val="Compact"/>
              <w:jc w:val="left"/>
            </w:pPr>
            <w:r>
              <w:t xml:space="preserve">Procare deal model &amp; metrics</w:t>
            </w:r>
          </w:p>
        </w:tc>
        <w:tc>
          <w:p>
            <w:pPr>
              <w:pStyle w:val="Compact"/>
              <w:jc w:val="left"/>
            </w:pPr>
            <w:r>
              <w:t xml:space="preserve">Medium</w:t>
            </w:r>
          </w:p>
        </w:tc>
        <w:tc>
          <w:p>
            <w:pPr>
              <w:pStyle w:val="Compact"/>
              <w:jc w:val="left"/>
            </w:pPr>
            <w:r>
              <w:t xml:space="preserve">Investor relations</w:t>
            </w:r>
          </w:p>
        </w:tc>
        <w:tc>
          <w:p>
            <w:pPr>
              <w:pStyle w:val="Compact"/>
              <w:jc w:val="left"/>
            </w:pPr>
            <w:r>
              <w:t xml:space="preserve">Request purchase price, date, deal assumptions</w:t>
            </w:r>
          </w:p>
        </w:tc>
        <w:tc>
          <w:p>
            <w:pPr>
              <w:pStyle w:val="Compact"/>
              <w:jc w:val="left"/>
            </w:pPr>
            <w:r>
              <w:t xml:space="preserve">Before rating</w:t>
            </w:r>
          </w:p>
        </w:tc>
      </w:tr>
      <w:tr>
        <w:tc>
          <w:p>
            <w:pPr>
              <w:pStyle w:val="Compact"/>
              <w:jc w:val="left"/>
            </w:pPr>
            <w:r>
              <w:t xml:space="preserve">M&amp;A pipeline &amp; deal probability</w:t>
            </w:r>
          </w:p>
        </w:tc>
        <w:tc>
          <w:p>
            <w:pPr>
              <w:pStyle w:val="Compact"/>
              <w:jc w:val="left"/>
            </w:pPr>
            <w:r>
              <w:t xml:space="preserve">Medium</w:t>
            </w:r>
          </w:p>
        </w:tc>
        <w:tc>
          <w:p>
            <w:pPr>
              <w:pStyle w:val="Compact"/>
              <w:jc w:val="left"/>
            </w:pPr>
            <w:r>
              <w:t xml:space="preserve">Earnings call</w:t>
            </w:r>
          </w:p>
        </w:tc>
        <w:tc>
          <w:p>
            <w:pPr>
              <w:pStyle w:val="Compact"/>
              <w:jc w:val="left"/>
            </w:pPr>
            <w:r>
              <w:t xml:space="preserve">Monitor deal announcements; estimate timing</w:t>
            </w:r>
          </w:p>
        </w:tc>
        <w:tc>
          <w:p>
            <w:pPr>
              <w:pStyle w:val="Compact"/>
              <w:jc w:val="left"/>
            </w:pPr>
            <w:r>
              <w:t xml:space="preserve">Ongoing</w:t>
            </w:r>
          </w:p>
        </w:tc>
      </w:tr>
      <w:tr>
        <w:tc>
          <w:p>
            <w:pPr>
              <w:pStyle w:val="Compact"/>
              <w:jc w:val="left"/>
            </w:pPr>
            <w:r>
              <w:t xml:space="preserve">Leverage path &amp; covenant headroom</w:t>
            </w:r>
          </w:p>
        </w:tc>
        <w:tc>
          <w:p>
            <w:pPr>
              <w:pStyle w:val="Compact"/>
              <w:jc w:val="left"/>
            </w:pPr>
            <w:r>
              <w:t xml:space="preserve">Medium</w:t>
            </w:r>
          </w:p>
        </w:tc>
        <w:tc>
          <w:p>
            <w:pPr>
              <w:pStyle w:val="Compact"/>
              <w:jc w:val="left"/>
            </w:pPr>
            <w:r>
              <w:t xml:space="preserve">10-K debt schedule</w:t>
            </w:r>
          </w:p>
        </w:tc>
        <w:tc>
          <w:p>
            <w:pPr>
              <w:pStyle w:val="Compact"/>
              <w:jc w:val="left"/>
            </w:pPr>
            <w:r>
              <w:t xml:space="preserve">Analyze maturity calendar; model deleveraging</w:t>
            </w:r>
          </w:p>
        </w:tc>
        <w:tc>
          <w:p>
            <w:pPr>
              <w:pStyle w:val="Compact"/>
              <w:jc w:val="left"/>
            </w:pPr>
            <w:r>
              <w:t xml:space="preserve">Before rating</w:t>
            </w:r>
          </w:p>
        </w:tc>
      </w:tr>
      <w:tr>
        <w:tc>
          <w:p>
            <w:pPr>
              <w:pStyle w:val="Compact"/>
              <w:jc w:val="left"/>
            </w:pPr>
            <w:r>
              <w:t xml:space="preserve">Deltek revenue &amp; organic growth</w:t>
            </w:r>
          </w:p>
        </w:tc>
        <w:tc>
          <w:p>
            <w:pPr>
              <w:pStyle w:val="Compact"/>
              <w:jc w:val="left"/>
            </w:pPr>
            <w:r>
              <w:t xml:space="preserve">Medium</w:t>
            </w:r>
          </w:p>
        </w:tc>
        <w:tc>
          <w:p>
            <w:pPr>
              <w:pStyle w:val="Compact"/>
              <w:jc w:val="left"/>
            </w:pPr>
            <w:r>
              <w:t xml:space="preserve">Segment reporting</w:t>
            </w:r>
          </w:p>
        </w:tc>
        <w:tc>
          <w:p>
            <w:pPr>
              <w:pStyle w:val="Compact"/>
              <w:jc w:val="left"/>
            </w:pPr>
            <w:r>
              <w:t xml:space="preserve">Request Deltek standalone P&amp;L</w:t>
            </w:r>
          </w:p>
        </w:tc>
        <w:tc>
          <w:p>
            <w:pPr>
              <w:pStyle w:val="Compact"/>
              <w:jc w:val="left"/>
            </w:pPr>
            <w:r>
              <w:t xml:space="preserve">Before rating</w:t>
            </w:r>
          </w:p>
        </w:tc>
      </w:tr>
      <w:tr>
        <w:tc>
          <w:p>
            <w:pPr>
              <w:pStyle w:val="Compact"/>
              <w:jc w:val="left"/>
            </w:pPr>
            <w:r>
              <w:t xml:space="preserve">Goodwill impairment sensitivity</w:t>
            </w:r>
          </w:p>
        </w:tc>
        <w:tc>
          <w:p>
            <w:pPr>
              <w:pStyle w:val="Compact"/>
              <w:jc w:val="left"/>
            </w:pPr>
            <w:r>
              <w:t xml:space="preserve">High</w:t>
            </w:r>
          </w:p>
        </w:tc>
        <w:tc>
          <w:p>
            <w:pPr>
              <w:pStyle w:val="Compact"/>
              <w:jc w:val="left"/>
            </w:pPr>
            <w:r>
              <w:t xml:space="preserve">10-K fair value disc.</w:t>
            </w:r>
          </w:p>
        </w:tc>
        <w:tc>
          <w:p>
            <w:pPr>
              <w:pStyle w:val="Compact"/>
              <w:jc w:val="left"/>
            </w:pPr>
            <w:r>
              <w:t xml:space="preserve">Model organic growth thresholds for triggers</w:t>
            </w:r>
          </w:p>
        </w:tc>
        <w:tc>
          <w:p>
            <w:pPr>
              <w:pStyle w:val="Compact"/>
              <w:jc w:val="left"/>
            </w:pPr>
            <w:r>
              <w:t xml:space="preserve">Before rating</w:t>
            </w:r>
          </w:p>
        </w:tc>
      </w:tr>
    </w:tbl>
    <w:p>
      <w:pPr>
        <w:pStyle w:val="BodyText"/>
      </w:pPr>
      <w:r>
        <w:rPr>
          <w:b/>
        </w:rPr>
        <w:t xml:space="preserve">Investor Implication:</w:t>
      </w:r>
      <w:r>
        <w:t xml:space="preserve"> </w:t>
      </w:r>
      <w:r>
        <w:t xml:space="preserve">The material gaps in unit-level economics, customer retention, and AI roadmap significantly limit thesis precision; fair value range ($350-430/share) should be widened to ±15% until critical data is provided by management or investor relations.</w:t>
      </w:r>
    </w:p>
    <w:p>
      <w:r>
        <w:pict>
          <v:rect style="width:0;height:1.5pt" o:hralign="center" o:hrstd="t" o:hr="t"/>
        </w:pict>
      </w:r>
    </w:p>
    <w:p>
      <w:pPr>
        <w:pStyle w:val="Heading2"/>
      </w:pPr>
      <w:bookmarkStart w:id="156" w:name="section-9-variant-perception"/>
      <w:r>
        <w:t xml:space="preserve">SECTION 9: VARIANT PERCEPTION</w:t>
      </w:r>
      <w:bookmarkEnd w:id="156"/>
    </w:p>
    <w:p>
      <w:pPr>
        <w:pStyle w:val="Heading3"/>
      </w:pPr>
      <w:bookmarkStart w:id="157" w:name="X21169d0fe8b00c8b6a0a8a8b41d041a23b5ebc9"/>
      <w:r>
        <w:t xml:space="preserve">THE KEY VARIANT: Organic Growth Acceleration as Valuation Inflection Point</w:t>
      </w:r>
      <w:bookmarkEnd w:id="157"/>
    </w:p>
    <w:p>
      <w:pPr>
        <w:pStyle w:val="Heading4"/>
      </w:pPr>
      <w:bookmarkStart w:id="158" w:name="thesis-foundation"/>
      <w:r>
        <w:t xml:space="preserve">Thesis Foundation</w:t>
      </w:r>
      <w:bookmarkEnd w:id="158"/>
    </w:p>
    <w:p>
      <w:pPr>
        <w:pStyle w:val="FirstParagraph"/>
      </w:pPr>
      <w:r>
        <w:t xml:space="preserve">Management has publicly stated a</w:t>
      </w:r>
      <w:r>
        <w:t xml:space="preserve"> </w:t>
      </w:r>
      <w:r>
        <w:t xml:space="preserve">“</w:t>
      </w:r>
      <w:r>
        <w:t xml:space="preserve">long-term entitled organic growth</w:t>
      </w:r>
      <w:r>
        <w:t xml:space="preserve">”</w:t>
      </w:r>
      <w:r>
        <w:t xml:space="preserve"> </w:t>
      </w:r>
      <w:r>
        <w:t xml:space="preserve">target of</w:t>
      </w:r>
      <w:r>
        <w:t xml:space="preserve"> </w:t>
      </w:r>
      <w:r>
        <w:rPr>
          <w:b/>
        </w:rPr>
        <w:t xml:space="preserve">“</w:t>
      </w:r>
      <w:r>
        <w:rPr>
          <w:b/>
        </w:rPr>
        <w:t xml:space="preserve">north of 8%</w:t>
      </w:r>
      <w:r>
        <w:rPr>
          <w:b/>
        </w:rPr>
        <w:t xml:space="preserve">”</w:t>
      </w:r>
      <w:r>
        <w:t xml:space="preserve"> </w:t>
      </w:r>
      <w:r>
        <w:t xml:space="preserve">[Management Commentary]. However, actual realized organic growth over the past 4 years has consistently underperformed this aspiration:</w:t>
      </w:r>
    </w:p>
    <w:tbl>
      <w:tblPr>
        <w:tblStyle w:val="Table"/>
        <w:tblW w:type="pct" w:w="4999.999999999999"/>
        <w:tblLook w:firstRow="1"/>
      </w:tblPr>
      <w:tblGrid>
        <w:gridCol w:w="2640"/>
        <w:gridCol w:w="1320"/>
        <w:gridCol w:w="1320"/>
        <w:gridCol w:w="1320"/>
        <w:gridCol w:w="1320"/>
      </w:tblGrid>
      <w:tr>
        <w:trPr>
          <w:cnfStyle w:firstRow="1"/>
        </w:trPr>
        <w:tc>
          <w:tcPr>
            <w:tcBorders>
              <w:bottom w:val="single"/>
            </w:tcBorders>
            <w:vAlign w:val="bottom"/>
          </w:tcPr>
          <w:p>
            <w:pPr>
              <w:pStyle w:val="Compact"/>
              <w:jc w:val="left"/>
            </w:pPr>
            <w:r>
              <w:t xml:space="preserve">Year</w:t>
            </w:r>
          </w:p>
        </w:tc>
        <w:tc>
          <w:tcPr>
            <w:tcBorders>
              <w:bottom w:val="single"/>
            </w:tcBorders>
            <w:vAlign w:val="bottom"/>
          </w:tcPr>
          <w:p>
            <w:pPr>
              <w:pStyle w:val="Compact"/>
              <w:jc w:val="left"/>
            </w:pPr>
            <w:r>
              <w:t xml:space="preserve">Revenue ($M)</w:t>
            </w:r>
          </w:p>
        </w:tc>
        <w:tc>
          <w:tcPr>
            <w:tcBorders>
              <w:bottom w:val="single"/>
            </w:tcBorders>
            <w:vAlign w:val="bottom"/>
          </w:tcPr>
          <w:p>
            <w:pPr>
              <w:pStyle w:val="Compact"/>
              <w:jc w:val="left"/>
            </w:pPr>
            <w:r>
              <w:t xml:space="preserve">Growth</w:t>
            </w:r>
          </w:p>
        </w:tc>
        <w:tc>
          <w:tcPr>
            <w:tcBorders>
              <w:bottom w:val="single"/>
            </w:tcBorders>
            <w:vAlign w:val="bottom"/>
          </w:tcPr>
          <w:p>
            <w:pPr>
              <w:pStyle w:val="Compact"/>
              <w:jc w:val="left"/>
            </w:pPr>
            <w:r>
              <w:t xml:space="preserve">Organic Growth</w:t>
            </w:r>
          </w:p>
        </w:tc>
        <w:tc>
          <w:tcPr>
            <w:tcBorders>
              <w:bottom w:val="single"/>
            </w:tcBorders>
            <w:vAlign w:val="bottom"/>
          </w:tcPr>
          <w:p>
            <w:pPr>
              <w:pStyle w:val="Compact"/>
              <w:jc w:val="left"/>
            </w:pPr>
            <w:r>
              <w:t xml:space="preserve">Notes</w:t>
            </w:r>
          </w:p>
        </w:tc>
      </w:tr>
      <w:tr>
        <w:tc>
          <w:p>
            <w:pPr>
              <w:pStyle w:val="Compact"/>
              <w:jc w:val="left"/>
            </w:pPr>
            <w:r>
              <w:t xml:space="preserve">FY2021</w:t>
            </w:r>
          </w:p>
        </w:tc>
        <w:tc>
          <w:p>
            <w:pPr>
              <w:pStyle w:val="Compact"/>
              <w:jc w:val="left"/>
            </w:pPr>
            <w:r>
              <w:t xml:space="preserve">$5,777.8</w:t>
            </w:r>
          </w:p>
        </w:tc>
        <w:tc>
          <w:p>
            <w:pPr>
              <w:pStyle w:val="Compact"/>
              <w:jc w:val="left"/>
            </w:pPr>
            <w:r>
              <w:t xml:space="preserve">N/A</w:t>
            </w:r>
          </w:p>
        </w:tc>
        <w:tc>
          <w:p>
            <w:pPr>
              <w:pStyle w:val="Compact"/>
              <w:jc w:val="left"/>
            </w:pPr>
            <w:r>
              <w:t xml:space="preserve">N/A</w:t>
            </w:r>
          </w:p>
        </w:tc>
        <w:tc>
          <w:p>
            <w:pPr>
              <w:pStyle w:val="Compact"/>
              <w:jc w:val="left"/>
            </w:pPr>
            <w:r>
              <w:t xml:space="preserve">Pre-divestiture (Indicor)</w:t>
            </w:r>
          </w:p>
        </w:tc>
      </w:tr>
      <w:tr>
        <w:tc>
          <w:p>
            <w:pPr>
              <w:pStyle w:val="Compact"/>
              <w:jc w:val="left"/>
            </w:pPr>
            <w:r>
              <w:t xml:space="preserve">FY2022</w:t>
            </w:r>
          </w:p>
        </w:tc>
        <w:tc>
          <w:p>
            <w:pPr>
              <w:pStyle w:val="Compact"/>
              <w:jc w:val="left"/>
            </w:pPr>
            <w:r>
              <w:t xml:space="preserve">$5,371.8</w:t>
            </w:r>
          </w:p>
        </w:tc>
        <w:tc>
          <w:p>
            <w:pPr>
              <w:pStyle w:val="Compact"/>
              <w:jc w:val="left"/>
            </w:pPr>
            <w:r>
              <w:t xml:space="preserve">-7.0%</w:t>
            </w:r>
          </w:p>
        </w:tc>
        <w:tc>
          <w:p>
            <w:pPr>
              <w:pStyle w:val="Compact"/>
              <w:jc w:val="left"/>
            </w:pPr>
            <w:r>
              <w:t xml:space="preserve">~+11% (est.)</w:t>
            </w:r>
          </w:p>
        </w:tc>
        <w:tc>
          <w:p>
            <w:pPr>
              <w:pStyle w:val="Compact"/>
              <w:jc w:val="left"/>
            </w:pPr>
            <w:r>
              <w:t xml:space="preserve">Indicor divestiture drag; organic healthy</w:t>
            </w:r>
          </w:p>
        </w:tc>
      </w:tr>
      <w:tr>
        <w:tc>
          <w:p>
            <w:pPr>
              <w:pStyle w:val="Compact"/>
              <w:jc w:val="left"/>
            </w:pPr>
            <w:r>
              <w:t xml:space="preserve">FY2023</w:t>
            </w:r>
          </w:p>
        </w:tc>
        <w:tc>
          <w:p>
            <w:pPr>
              <w:pStyle w:val="Compact"/>
              <w:jc w:val="left"/>
            </w:pPr>
            <w:r>
              <w:t xml:space="preserve">$6,177.8</w:t>
            </w:r>
          </w:p>
        </w:tc>
        <w:tc>
          <w:p>
            <w:pPr>
              <w:pStyle w:val="Compact"/>
              <w:jc w:val="left"/>
            </w:pPr>
            <w:r>
              <w:t xml:space="preserve">+15.0%</w:t>
            </w:r>
          </w:p>
        </w:tc>
        <w:tc>
          <w:p>
            <w:pPr>
              <w:pStyle w:val="Compact"/>
              <w:jc w:val="left"/>
            </w:pPr>
            <w:r>
              <w:t xml:space="preserve">+15% (est. from commentary)</w:t>
            </w:r>
          </w:p>
        </w:tc>
        <w:tc>
          <w:p>
            <w:pPr>
              <w:pStyle w:val="Compact"/>
              <w:jc w:val="left"/>
            </w:pPr>
            <w:r>
              <w:t xml:space="preserve">Strong organic, but heavily M&amp;A-driven growth</w:t>
            </w:r>
          </w:p>
        </w:tc>
      </w:tr>
      <w:tr>
        <w:tc>
          <w:p>
            <w:pPr>
              <w:pStyle w:val="Compact"/>
              <w:jc w:val="left"/>
            </w:pPr>
            <w:r>
              <w:t xml:space="preserve">FY2024</w:t>
            </w:r>
          </w:p>
        </w:tc>
        <w:tc>
          <w:p>
            <w:pPr>
              <w:pStyle w:val="Compact"/>
              <w:jc w:val="left"/>
            </w:pPr>
            <w:r>
              <w:t xml:space="preserve">$7,039.2</w:t>
            </w:r>
          </w:p>
        </w:tc>
        <w:tc>
          <w:p>
            <w:pPr>
              <w:pStyle w:val="Compact"/>
              <w:jc w:val="left"/>
            </w:pPr>
            <w:r>
              <w:t xml:space="preserve">+14.0%</w:t>
            </w:r>
          </w:p>
        </w:tc>
        <w:tc>
          <w:p>
            <w:pPr>
              <w:pStyle w:val="Compact"/>
              <w:jc w:val="left"/>
            </w:pPr>
            <w:r>
              <w:t xml:space="preserve">+14% (est.)</w:t>
            </w:r>
          </w:p>
        </w:tc>
        <w:tc>
          <w:p>
            <w:pPr>
              <w:pStyle w:val="Compact"/>
              <w:jc w:val="left"/>
            </w:pPr>
            <w:r>
              <w:t xml:space="preserve">Continued M&amp;A; organic growth ~5-6% [10-K]</w:t>
            </w:r>
          </w:p>
        </w:tc>
      </w:tr>
      <w:tr>
        <w:tc>
          <w:p>
            <w:pPr>
              <w:pStyle w:val="Compact"/>
              <w:jc w:val="left"/>
            </w:pPr>
            <w:r>
              <w:t xml:space="preserve">FY2025</w:t>
            </w:r>
          </w:p>
        </w:tc>
        <w:tc>
          <w:p>
            <w:pPr>
              <w:pStyle w:val="Compact"/>
              <w:jc w:val="left"/>
            </w:pPr>
            <w:r>
              <w:t xml:space="preserve">$7,902.5</w:t>
            </w:r>
          </w:p>
        </w:tc>
        <w:tc>
          <w:p>
            <w:pPr>
              <w:pStyle w:val="Compact"/>
              <w:jc w:val="left"/>
            </w:pPr>
            <w:r>
              <w:t xml:space="preserve">+12.0%</w:t>
            </w:r>
          </w:p>
        </w:tc>
        <w:tc>
          <w:p>
            <w:pPr>
              <w:pStyle w:val="Compact"/>
              <w:jc w:val="left"/>
            </w:pPr>
            <w:r>
              <w:t xml:space="preserve">+5.6% (actual) [10-K]</w:t>
            </w:r>
          </w:p>
        </w:tc>
        <w:tc>
          <w:p>
            <w:pPr>
              <w:pStyle w:val="Compact"/>
              <w:jc w:val="left"/>
            </w:pPr>
            <w:r>
              <w:t xml:space="preserve">Organic deceleration; M&amp;A still major driver</w:t>
            </w:r>
          </w:p>
        </w:tc>
      </w:tr>
      <w:tr>
        <w:tc>
          <w:p>
            <w:pPr>
              <w:pStyle w:val="Compact"/>
              <w:jc w:val="left"/>
            </w:pPr>
            <w:r>
              <w:t xml:space="preserve">FY2026E</w:t>
            </w:r>
          </w:p>
        </w:tc>
        <w:tc>
          <w:p>
            <w:pPr>
              <w:pStyle w:val="Compact"/>
              <w:jc w:val="left"/>
            </w:pPr>
            <w:r>
              <w:t xml:space="preserve">~$8,530</w:t>
            </w:r>
          </w:p>
        </w:tc>
        <w:tc>
          <w:p>
            <w:pPr>
              <w:pStyle w:val="Compact"/>
              <w:jc w:val="left"/>
            </w:pPr>
            <w:r>
              <w:t xml:space="preserve">+8.0% (guided)</w:t>
            </w:r>
          </w:p>
        </w:tc>
        <w:tc>
          <w:p>
            <w:pPr>
              <w:pStyle w:val="Compact"/>
              <w:jc w:val="left"/>
            </w:pPr>
            <w:r>
              <w:t xml:space="preserve">+5-6% (guided) [Management Guidance]</w:t>
            </w:r>
          </w:p>
        </w:tc>
        <w:tc>
          <w:p>
            <w:pPr>
              <w:pStyle w:val="Compact"/>
              <w:jc w:val="left"/>
            </w:pPr>
            <w:r>
              <w:t xml:space="preserve">Assumes continued organic headwinds</w:t>
            </w:r>
          </w:p>
        </w:tc>
      </w:tr>
    </w:tbl>
    <w:p>
      <w:pPr>
        <w:pStyle w:val="BodyText"/>
      </w:pPr>
      <w:r>
        <w:rPr>
          <w:b/>
        </w:rPr>
        <w:t xml:space="preserve">Interpretation:</w:t>
      </w:r>
      <w:r>
        <w:t xml:space="preserve"> </w:t>
      </w:r>
      <w:r>
        <w:t xml:space="preserve">Since FY2023, organic growth has stalled at</w:t>
      </w:r>
      <w:r>
        <w:t xml:space="preserve"> </w:t>
      </w:r>
      <w:r>
        <w:rPr>
          <w:b/>
        </w:rPr>
        <w:t xml:space="preserve">5-6%</w:t>
      </w:r>
      <w:r>
        <w:t xml:space="preserve">, well below the</w:t>
      </w:r>
      <w:r>
        <w:t xml:space="preserve"> </w:t>
      </w:r>
      <w:r>
        <w:t xml:space="preserve">“</w:t>
      </w:r>
      <w:r>
        <w:t xml:space="preserve">north of 8%</w:t>
      </w:r>
      <w:r>
        <w:t xml:space="preserve">”</w:t>
      </w:r>
      <w:r>
        <w:t xml:space="preserve"> </w:t>
      </w:r>
      <w:r>
        <w:t xml:space="preserve">aspiration. Aggregate revenue growth is masks this deceleration: FY2025 reported +12% is only 5.6% organic. This suggests:</w:t>
      </w:r>
    </w:p>
    <w:p>
      <w:pPr>
        <w:numPr>
          <w:ilvl w:val="0"/>
          <w:numId w:val="1016"/>
        </w:numPr>
        <w:pStyle w:val="Compact"/>
      </w:pPr>
      <w:r>
        <w:rPr>
          <w:b/>
        </w:rPr>
        <w:t xml:space="preserve">M&amp;A is masking organic stagnation:</w:t>
      </w:r>
      <w:r>
        <w:t xml:space="preserve"> </w:t>
      </w:r>
      <w:r>
        <w:t xml:space="preserve">~$9B acquisitions over 3 years contribute +300-400 bps to reported growth but leave core organic growth stuck.</w:t>
      </w:r>
    </w:p>
    <w:p>
      <w:pPr>
        <w:numPr>
          <w:ilvl w:val="0"/>
          <w:numId w:val="1016"/>
        </w:numPr>
        <w:pStyle w:val="Compact"/>
      </w:pPr>
      <w:r>
        <w:rPr>
          <w:b/>
        </w:rPr>
        <w:t xml:space="preserve">Organic growth trend is flat-to-declining:</w:t>
      </w:r>
      <w:r>
        <w:t xml:space="preserve"> </w:t>
      </w:r>
      <w:r>
        <w:t xml:space="preserve">FY2024 claimed +14% organic (implausible [10-K]); actual appears to be ~+5-6%, below stated 8% target.</w:t>
      </w:r>
    </w:p>
    <w:p>
      <w:pPr>
        <w:numPr>
          <w:ilvl w:val="0"/>
          <w:numId w:val="1016"/>
        </w:numPr>
        <w:pStyle w:val="Compact"/>
      </w:pPr>
      <w:r>
        <w:rPr>
          <w:b/>
        </w:rPr>
        <w:t xml:space="preserve">Guidance is conservative (or realistic):</w:t>
      </w:r>
      <w:r>
        <w:t xml:space="preserve"> </w:t>
      </w:r>
      <w:r>
        <w:t xml:space="preserve">FY2026 guidance of +5-6% organic appears to be a floor, not a ceiling, suggesting management has lost confidence in acceleration narrative.</w:t>
      </w:r>
    </w:p>
    <w:p>
      <w:r>
        <w:pict>
          <v:rect style="width:0;height:1.5pt" o:hralign="center" o:hrstd="t" o:hr="t"/>
        </w:pict>
      </w:r>
    </w:p>
    <w:p>
      <w:pPr>
        <w:pStyle w:val="Heading4"/>
      </w:pPr>
      <w:bookmarkStart w:id="159" w:name="Xca5f922fcf93ad075b61a41e36471aaa1e57be4"/>
      <w:r>
        <w:t xml:space="preserve">The Bull Case: Why Organic Accelerates to 8%+ by FY2027</w:t>
      </w:r>
      <w:bookmarkEnd w:id="159"/>
    </w:p>
    <w:p>
      <w:pPr>
        <w:pStyle w:val="FirstParagraph"/>
      </w:pPr>
      <w:r>
        <w:rPr>
          <w:b/>
        </w:rPr>
        <w:t xml:space="preserve">Supporting Evidence:</w:t>
      </w:r>
    </w:p>
    <w:p>
      <w:pPr>
        <w:numPr>
          <w:ilvl w:val="0"/>
          <w:numId w:val="1017"/>
        </w:numPr>
      </w:pPr>
      <w:r>
        <w:rPr>
          <w:b/>
        </w:rPr>
        <w:t xml:space="preserve">Recurring Revenue Acceleration:</w:t>
      </w:r>
      <w:r>
        <w:t xml:space="preserve"> </w:t>
      </w:r>
      <w:r>
        <w:t xml:space="preserve">Recurring + reoccurring revenue ($5,316M, 67% of total [10-K]) is growing +6% organic, faster than non-recurring (-1% [10-K]). As recurring mix expands to 70%+, blended organic could accelerate to +6-7% by FY2027.</w:t>
      </w:r>
    </w:p>
    <w:p>
      <w:pPr>
        <w:numPr>
          <w:ilvl w:val="0"/>
          <w:numId w:val="1017"/>
        </w:numPr>
      </w:pPr>
      <w:r>
        <w:rPr>
          <w:b/>
        </w:rPr>
        <w:t xml:space="preserve">Procare Integration Completion:</w:t>
      </w:r>
      <w:r>
        <w:t xml:space="preserve"> </w:t>
      </w:r>
      <w:r>
        <w:t xml:space="preserve">Implementation delays are characterized as</w:t>
      </w:r>
      <w:r>
        <w:t xml:space="preserve"> </w:t>
      </w:r>
      <w:r>
        <w:t xml:space="preserve">“</w:t>
      </w:r>
      <w:r>
        <w:t xml:space="preserve">fixable</w:t>
      </w:r>
      <w:r>
        <w:t xml:space="preserve">”</w:t>
      </w:r>
      <w:r>
        <w:t xml:space="preserve"> </w:t>
      </w:r>
      <w:r>
        <w:t xml:space="preserve">[Management Commentary]. If fixed by H2 2026, Procare could return to +8-10% organic growth (childcare SaaS historical growth rate), lifting App Software organic from +5% to +6-7%.</w:t>
      </w:r>
    </w:p>
    <w:p>
      <w:pPr>
        <w:numPr>
          <w:ilvl w:val="0"/>
          <w:numId w:val="1017"/>
        </w:numPr>
      </w:pPr>
      <w:r>
        <w:rPr>
          <w:b/>
        </w:rPr>
        <w:t xml:space="preserve">AI-Enabled Pricing Power:</w:t>
      </w:r>
      <w:r>
        <w:t xml:space="preserve"> </w:t>
      </w:r>
      <w:r>
        <w:t xml:space="preserve">AI features embedded in workflows could command +5-10% price premiums on renewals by FY2026-2027, improving pricing power and offsetting volume pressures. First material impact in App Software bookings Q4 2025 / Q1 2026.</w:t>
      </w:r>
    </w:p>
    <w:p>
      <w:pPr>
        <w:numPr>
          <w:ilvl w:val="0"/>
          <w:numId w:val="1017"/>
        </w:numPr>
      </w:pPr>
      <w:r>
        <w:rPr>
          <w:b/>
        </w:rPr>
        <w:t xml:space="preserve">Freight Market Recovery:</w:t>
      </w:r>
      <w:r>
        <w:t xml:space="preserve"> </w:t>
      </w:r>
      <w:r>
        <w:t xml:space="preserve">DAT platform benefiting from utilization normalization, with potential +2-3% incremental organic growth contribution to Network Software (currently +4%).</w:t>
      </w:r>
    </w:p>
    <w:p>
      <w:pPr>
        <w:numPr>
          <w:ilvl w:val="0"/>
          <w:numId w:val="1017"/>
        </w:numPr>
      </w:pPr>
      <w:r>
        <w:rPr>
          <w:b/>
        </w:rPr>
        <w:t xml:space="preserve">Government Modernization:</w:t>
      </w:r>
      <w:r>
        <w:t xml:space="preserve"> </w:t>
      </w:r>
      <w:r>
        <w:t xml:space="preserve">FY2026 guidance explicitly assumes</w:t>
      </w:r>
      <w:r>
        <w:t xml:space="preserve"> </w:t>
      </w:r>
      <w:r>
        <w:t xml:space="preserve">“</w:t>
      </w:r>
      <w:r>
        <w:t xml:space="preserve">no Deltek GovCon improvement,</w:t>
      </w:r>
      <w:r>
        <w:t xml:space="preserve">”</w:t>
      </w:r>
      <w:r>
        <w:t xml:space="preserve"> </w:t>
      </w:r>
      <w:r>
        <w:t xml:space="preserve">suggesting conservative baseline. If federal IT budgets accelerate (post-election stimulus, cybersecurity mandate, cloud migration), Deltek could unlock +2-3% incremental organic growth.</w:t>
      </w:r>
    </w:p>
    <w:p>
      <w:pPr>
        <w:pStyle w:val="FirstParagraph"/>
      </w:pPr>
      <w:r>
        <w:rPr>
          <w:b/>
        </w:rPr>
        <w:t xml:space="preserve">Bull Case Outcome:</w:t>
      </w:r>
      <w:r>
        <w:t xml:space="preserve"> </w:t>
      </w:r>
      <w:r>
        <w:t xml:space="preserve">If 2-3 of these five tailwinds materialize (Recurring expansion + Procare fix + AI pricing), App Software organic could accelerate from +5% to +7-8%, lifting consolidated organic to +6.5-7.5% by FY2027. Under this scenario:</w:t>
      </w:r>
    </w:p>
    <w:p>
      <w:pPr>
        <w:numPr>
          <w:ilvl w:val="0"/>
          <w:numId w:val="1018"/>
        </w:numPr>
        <w:pStyle w:val="Compact"/>
      </w:pPr>
      <w:r>
        <w:t xml:space="preserve">FY2027 Revenue: $8,920M base + 7.5% organic =</w:t>
      </w:r>
      <w:r>
        <w:t xml:space="preserve"> </w:t>
      </w:r>
      <w:r>
        <w:rPr>
          <w:b/>
        </w:rPr>
        <w:t xml:space="preserve">$9,588M</w:t>
      </w:r>
      <w:r>
        <w:t xml:space="preserve"> </w:t>
      </w:r>
      <w:r>
        <w:t xml:space="preserve">(vs. $8,920M in base case [calc from Section 7])</w:t>
      </w:r>
    </w:p>
    <w:p>
      <w:pPr>
        <w:numPr>
          <w:ilvl w:val="0"/>
          <w:numId w:val="1018"/>
        </w:numPr>
        <w:pStyle w:val="Compact"/>
      </w:pPr>
      <w:r>
        <w:t xml:space="preserve">Implies +7% CAGR FY2026-2027 vs. +5.6% historical</w:t>
      </w:r>
    </w:p>
    <w:p>
      <w:pPr>
        <w:numPr>
          <w:ilvl w:val="0"/>
          <w:numId w:val="1018"/>
        </w:numPr>
        <w:pStyle w:val="Compact"/>
      </w:pPr>
      <w:r>
        <w:t xml:space="preserve">FY2027 EBITDA: $9,588M × 44.5% = $4,264M (vs. $3,935M base [Section 7])</w:t>
      </w:r>
    </w:p>
    <w:p>
      <w:pPr>
        <w:numPr>
          <w:ilvl w:val="0"/>
          <w:numId w:val="1018"/>
        </w:numPr>
        <w:pStyle w:val="Compact"/>
      </w:pPr>
      <w:r>
        <w:t xml:space="preserve">Incremental EBITDA: $329M, or</w:t>
      </w:r>
      <w:r>
        <w:t xml:space="preserve"> </w:t>
      </w:r>
      <w:r>
        <w:rPr>
          <w:b/>
        </w:rPr>
        <w:t xml:space="preserve">+8.4% to EBITDA margin</w:t>
      </w:r>
      <w:r>
        <w:t xml:space="preserve"> </w:t>
      </w:r>
      <w:r>
        <w:t xml:space="preserve">at 7.5% organic growth</w:t>
      </w:r>
    </w:p>
    <w:p>
      <w:pPr>
        <w:numPr>
          <w:ilvl w:val="0"/>
          <w:numId w:val="1018"/>
        </w:numPr>
        <w:pStyle w:val="Compact"/>
      </w:pPr>
      <w:r>
        <w:t xml:space="preserve">EV impact: $329M × 13.5x =</w:t>
      </w:r>
      <w:r>
        <w:t xml:space="preserve"> </w:t>
      </w:r>
      <w:r>
        <w:rPr>
          <w:b/>
        </w:rPr>
        <w:t xml:space="preserve">+$4.4B upside</w:t>
      </w:r>
      <w:r>
        <w:t xml:space="preserve"> </w:t>
      </w:r>
      <w:r>
        <w:t xml:space="preserve">to fair value</w:t>
      </w:r>
    </w:p>
    <w:p>
      <w:pPr>
        <w:pStyle w:val="FirstParagraph"/>
      </w:pPr>
      <w:r>
        <w:rPr>
          <w:b/>
        </w:rPr>
        <w:t xml:space="preserve">Valuation Outcome:</w:t>
      </w:r>
      <w:r>
        <w:t xml:space="preserve"> </w:t>
      </w:r>
      <w:r>
        <w:t xml:space="preserve">Bull case fair value = $430/share (base case) + $35/share (organic upside) =</w:t>
      </w:r>
      <w:r>
        <w:t xml:space="preserve"> </w:t>
      </w:r>
      <w:r>
        <w:rPr>
          <w:b/>
        </w:rPr>
        <w:t xml:space="preserve">$465/share, +20% upside from $390 midpoint</w:t>
      </w:r>
      <w:r>
        <w:t xml:space="preserve"> </w:t>
      </w:r>
      <w:r>
        <w:t xml:space="preserve">[calc].</w:t>
      </w:r>
    </w:p>
    <w:p>
      <w:r>
        <w:pict>
          <v:rect style="width:0;height:1.5pt" o:hralign="center" o:hrstd="t" o:hr="t"/>
        </w:pict>
      </w:r>
    </w:p>
    <w:p>
      <w:pPr>
        <w:pStyle w:val="Heading4"/>
      </w:pPr>
      <w:bookmarkStart w:id="160" w:name="X7b6b90c6b8059f2c646c641658d9b3e08e2b9bc"/>
      <w:r>
        <w:t xml:space="preserve">The Bear Case: Why Organic Stalls at 4-5% Through FY2027</w:t>
      </w:r>
      <w:bookmarkEnd w:id="160"/>
    </w:p>
    <w:p>
      <w:pPr>
        <w:pStyle w:val="FirstParagraph"/>
      </w:pPr>
      <w:r>
        <w:rPr>
          <w:b/>
        </w:rPr>
        <w:t xml:space="preserve">Supporting Evidence:</w:t>
      </w:r>
    </w:p>
    <w:p>
      <w:pPr>
        <w:numPr>
          <w:ilvl w:val="0"/>
          <w:numId w:val="1019"/>
        </w:numPr>
      </w:pPr>
      <w:r>
        <w:rPr>
          <w:b/>
        </w:rPr>
        <w:t xml:space="preserve">Competitive Displacement in Core Verticals:</w:t>
      </w:r>
      <w:r>
        <w:t xml:space="preserve"> </w:t>
      </w:r>
      <w:r>
        <w:t xml:space="preserve">Tyler Technologies, Oracle, SAP are winning GovCon and ERP deals with lower-cost, AI-powered alternatives. Deltek faces secular decline in market share as cloud-native SaaS captures new projects. Estimated -1 to -2% organic headwind within Deltek = -0.3 to -0.6% consolidated.</w:t>
      </w:r>
    </w:p>
    <w:p>
      <w:pPr>
        <w:numPr>
          <w:ilvl w:val="0"/>
          <w:numId w:val="1019"/>
        </w:numPr>
      </w:pPr>
      <w:r>
        <w:rPr>
          <w:b/>
        </w:rPr>
        <w:t xml:space="preserve">Procare Integration Extends to FY2027:</w:t>
      </w:r>
      <w:r>
        <w:t xml:space="preserve"> </w:t>
      </w:r>
      <w:r>
        <w:t xml:space="preserve">Implementation delays persist beyond 2026, dragging revenue recognition and customer satisfaction. Churn potential if implementations fail. Risk: Procare organic could turn negative (-3 to -5%), offsetting other segment growth.</w:t>
      </w:r>
    </w:p>
    <w:p>
      <w:pPr>
        <w:numPr>
          <w:ilvl w:val="0"/>
          <w:numId w:val="1019"/>
        </w:numPr>
      </w:pPr>
      <w:r>
        <w:rPr>
          <w:b/>
        </w:rPr>
        <w:t xml:space="preserve">AI Adoption Slower Than Anticipated:</w:t>
      </w:r>
      <w:r>
        <w:t xml:space="preserve"> </w:t>
      </w:r>
      <w:r>
        <w:t xml:space="preserve">AI features are immaterial to customer purchasing decisions; customers see them as nice-to-have, not must-have. Pricing power doesn’t materialize. AI revenue contribution remains &lt;1% through FY2027.</w:t>
      </w:r>
    </w:p>
    <w:p>
      <w:pPr>
        <w:numPr>
          <w:ilvl w:val="0"/>
          <w:numId w:val="1019"/>
        </w:numPr>
      </w:pPr>
      <w:r>
        <w:rPr>
          <w:b/>
        </w:rPr>
        <w:t xml:space="preserve">Freight Market Re-Cycles:</w:t>
      </w:r>
      <w:r>
        <w:t xml:space="preserve"> </w:t>
      </w:r>
      <w:r>
        <w:t xml:space="preserve">Post-recovery dip in 2024-2025; freight market re-enters downturn in 2026-2027 (recession scenario). DAT usage declines, volumes soften. Network Software organic stalls at +2% or turns negative.</w:t>
      </w:r>
    </w:p>
    <w:p>
      <w:pPr>
        <w:numPr>
          <w:ilvl w:val="0"/>
          <w:numId w:val="1019"/>
        </w:numPr>
      </w:pPr>
      <w:r>
        <w:rPr>
          <w:b/>
        </w:rPr>
        <w:t xml:space="preserve">Government Spending Cut:</w:t>
      </w:r>
      <w:r>
        <w:t xml:space="preserve"> </w:t>
      </w:r>
      <w:r>
        <w:t xml:space="preserve">Federal IT budgets decline post-election due to fiscal constraint or shift in priorities. Deltek loses major contracts or faces client-mandated RFPs where competitors win. GovCon headwind = -2 to -4% organic.</w:t>
      </w:r>
    </w:p>
    <w:p>
      <w:pPr>
        <w:pStyle w:val="FirstParagraph"/>
      </w:pPr>
      <w:r>
        <w:rPr>
          <w:b/>
        </w:rPr>
        <w:t xml:space="preserve">Bear Case Outcome:</w:t>
      </w:r>
      <w:r>
        <w:t xml:space="preserve"> </w:t>
      </w:r>
      <w:r>
        <w:t xml:space="preserve">If 2-3 of these five risks materialize, organic growth could decelerate to</w:t>
      </w:r>
      <w:r>
        <w:t xml:space="preserve"> </w:t>
      </w:r>
      <w:r>
        <w:rPr>
          <w:b/>
        </w:rPr>
        <w:t xml:space="preserve">+3-4% by FY2027</w:t>
      </w:r>
      <w:r>
        <w:t xml:space="preserve">, below guidance. Under this scenario:</w:t>
      </w:r>
    </w:p>
    <w:p>
      <w:pPr>
        <w:numPr>
          <w:ilvl w:val="0"/>
          <w:numId w:val="1020"/>
        </w:numPr>
        <w:pStyle w:val="Compact"/>
      </w:pPr>
      <w:r>
        <w:t xml:space="preserve">FY2027 Revenue: $8,920M base + 3.5% organic =</w:t>
      </w:r>
      <w:r>
        <w:t xml:space="preserve"> </w:t>
      </w:r>
      <w:r>
        <w:rPr>
          <w:b/>
        </w:rPr>
        <w:t xml:space="preserve">$9,233M</w:t>
      </w:r>
      <w:r>
        <w:t xml:space="preserve"> </w:t>
      </w:r>
      <w:r>
        <w:t xml:space="preserve">(vs. $8,920M in base [Section 7])</w:t>
      </w:r>
    </w:p>
    <w:p>
      <w:pPr>
        <w:numPr>
          <w:ilvl w:val="0"/>
          <w:numId w:val="1020"/>
        </w:numPr>
        <w:pStyle w:val="Compact"/>
      </w:pPr>
      <w:r>
        <w:t xml:space="preserve">Implies +2.5% CAGR FY2026-2027 vs. guidance +5-6%</w:t>
      </w:r>
    </w:p>
    <w:p>
      <w:pPr>
        <w:numPr>
          <w:ilvl w:val="0"/>
          <w:numId w:val="1020"/>
        </w:numPr>
        <w:pStyle w:val="Compact"/>
      </w:pPr>
      <w:r>
        <w:t xml:space="preserve">FY2027 EBITDA: $9,233M × 43.5% =</w:t>
      </w:r>
      <w:r>
        <w:t xml:space="preserve"> </w:t>
      </w:r>
      <w:r>
        <w:rPr>
          <w:b/>
        </w:rPr>
        <w:t xml:space="preserve">$4,016M</w:t>
      </w:r>
      <w:r>
        <w:t xml:space="preserve"> </w:t>
      </w:r>
      <w:r>
        <w:t xml:space="preserve">(vs. $3,935M base, margin compression from lower growth)</w:t>
      </w:r>
    </w:p>
    <w:p>
      <w:pPr>
        <w:numPr>
          <w:ilvl w:val="0"/>
          <w:numId w:val="1020"/>
        </w:numPr>
        <w:pStyle w:val="Compact"/>
      </w:pPr>
      <w:r>
        <w:rPr>
          <w:b/>
        </w:rPr>
        <w:t xml:space="preserve">EBITDA miss: -$51M, or -1.3%</w:t>
      </w:r>
      <w:r>
        <w:t xml:space="preserve"> </w:t>
      </w:r>
      <w:r>
        <w:t xml:space="preserve">vs. base case</w:t>
      </w:r>
    </w:p>
    <w:p>
      <w:pPr>
        <w:numPr>
          <w:ilvl w:val="0"/>
          <w:numId w:val="1020"/>
        </w:numPr>
        <w:pStyle w:val="Compact"/>
      </w:pPr>
      <w:r>
        <w:t xml:space="preserve">Plus: Goodwill impairment risk if impairment test in FY2026 fails (P = 20-25% [Section 6])</w:t>
      </w:r>
    </w:p>
    <w:p>
      <w:pPr>
        <w:numPr>
          <w:ilvl w:val="0"/>
          <w:numId w:val="1020"/>
        </w:numPr>
        <w:pStyle w:val="Compact"/>
      </w:pPr>
      <w:r>
        <w:t xml:space="preserve">EV impact: -$51M EBITDA × 13.5x - $2B impairment charge =</w:t>
      </w:r>
      <w:r>
        <w:t xml:space="preserve"> </w:t>
      </w:r>
      <w:r>
        <w:rPr>
          <w:b/>
        </w:rPr>
        <w:t xml:space="preserve">-$2.7B downside</w:t>
      </w:r>
    </w:p>
    <w:p>
      <w:pPr>
        <w:pStyle w:val="FirstParagraph"/>
      </w:pPr>
      <w:r>
        <w:rPr>
          <w:b/>
        </w:rPr>
        <w:t xml:space="preserve">Valuation Outcome:</w:t>
      </w:r>
      <w:r>
        <w:t xml:space="preserve"> </w:t>
      </w:r>
      <w:r>
        <w:t xml:space="preserve">Bear case fair value = $390/share (base case) - $22/share (organic miss + impairment) =</w:t>
      </w:r>
      <w:r>
        <w:t xml:space="preserve"> </w:t>
      </w:r>
      <w:r>
        <w:rPr>
          <w:b/>
        </w:rPr>
        <w:t xml:space="preserve">$368/share, -6% downside from $390 midpoint</w:t>
      </w:r>
      <w:r>
        <w:t xml:space="preserve"> </w:t>
      </w:r>
      <w:r>
        <w:t xml:space="preserve">[calc]. With goodwill impairment, downside extends to</w:t>
      </w:r>
      <w:r>
        <w:t xml:space="preserve"> </w:t>
      </w:r>
      <w:r>
        <w:rPr>
          <w:b/>
        </w:rPr>
        <w:t xml:space="preserve">$330/share, -15% from midpoint</w:t>
      </w:r>
      <w:r>
        <w:t xml:space="preserve">.</w:t>
      </w:r>
    </w:p>
    <w:p>
      <w:r>
        <w:pict>
          <v:rect style="width:0;height:1.5pt" o:hralign="center" o:hrstd="t" o:hr="t"/>
        </w:pict>
      </w:r>
    </w:p>
    <w:p>
      <w:pPr>
        <w:pStyle w:val="Heading4"/>
      </w:pPr>
      <w:bookmarkStart w:id="161" w:name="X944976dd83e8fb51767ad34bb9e4cdb8aec9671"/>
      <w:r>
        <w:t xml:space="preserve">The Variant Perception: Market Pricing in Acceleration That Hasn’t Materialized</w:t>
      </w:r>
      <w:bookmarkEnd w:id="161"/>
    </w:p>
    <w:p>
      <w:pPr>
        <w:pStyle w:val="FirstParagraph"/>
      </w:pPr>
      <w:r>
        <w:rPr>
          <w:b/>
        </w:rPr>
        <w:t xml:space="preserve">Key Insight:</w:t>
      </w:r>
      <w:r>
        <w:t xml:space="preserve"> </w:t>
      </w:r>
      <w:r>
        <w:t xml:space="preserve">Current valuation multiples (assuming 18.1x EV/EBITDA at $390 fair value [Section 7]) imply market consensus on</w:t>
      </w:r>
      <w:r>
        <w:t xml:space="preserve"> </w:t>
      </w:r>
      <w:r>
        <w:rPr>
          <w:b/>
        </w:rPr>
        <w:t xml:space="preserve">+6-7% organic growth through FY2027</w:t>
      </w:r>
      <w:r>
        <w:t xml:space="preserve">, above stated FY2026 guidance of +5-6%.</w:t>
      </w:r>
    </w:p>
    <w:p>
      <w:pPr>
        <w:pStyle w:val="BodyText"/>
      </w:pPr>
      <w:r>
        <w:t xml:space="preserve">This suggests one of two investor perceptions:</w:t>
      </w:r>
    </w:p>
    <w:p>
      <w:pPr>
        <w:numPr>
          <w:ilvl w:val="0"/>
          <w:numId w:val="1021"/>
        </w:numPr>
      </w:pPr>
      <w:r>
        <w:rPr>
          <w:b/>
        </w:rPr>
        <w:t xml:space="preserve">Optimistic View:</w:t>
      </w:r>
      <w:r>
        <w:t xml:space="preserve"> </w:t>
      </w:r>
      <w:r>
        <w:t xml:space="preserve">Market believes management’s</w:t>
      </w:r>
      <w:r>
        <w:t xml:space="preserve"> </w:t>
      </w:r>
      <w:r>
        <w:t xml:space="preserve">“</w:t>
      </w:r>
      <w:r>
        <w:t xml:space="preserve">north of 8%</w:t>
      </w:r>
      <w:r>
        <w:t xml:space="preserve">”</w:t>
      </w:r>
      <w:r>
        <w:t xml:space="preserve"> </w:t>
      </w:r>
      <w:r>
        <w:t xml:space="preserve">aspiration is achievable by FY2027, and current organic drag is transitory (Procare delays, freight downturn = short-term headwinds to be overcome). Valuation multiple is justified if acceleration materializes.</w:t>
      </w:r>
    </w:p>
    <w:p>
      <w:pPr>
        <w:numPr>
          <w:ilvl w:val="0"/>
          <w:numId w:val="1021"/>
        </w:numPr>
      </w:pPr>
      <w:r>
        <w:rPr>
          <w:b/>
        </w:rPr>
        <w:t xml:space="preserve">Pessimistic View:</w:t>
      </w:r>
      <w:r>
        <w:t xml:space="preserve"> </w:t>
      </w:r>
      <w:r>
        <w:t xml:space="preserve">Market has already priced in +6-7% organic as a ceiling, not a path to 8%. If management fails to deliver 6-7% organic by FY2027, multiple compression is likely. Valuation at $390/share has limited upside and material downside if organic misses.</w:t>
      </w:r>
    </w:p>
    <w:p>
      <w:pPr>
        <w:pStyle w:val="FirstParagraph"/>
      </w:pPr>
      <w:r>
        <w:rPr>
          <w:b/>
        </w:rPr>
        <w:t xml:space="preserve">Evidence for Variant Risk:</w:t>
      </w:r>
    </w:p>
    <w:p>
      <w:pPr>
        <w:numPr>
          <w:ilvl w:val="0"/>
          <w:numId w:val="1022"/>
        </w:numPr>
        <w:pStyle w:val="Compact"/>
      </w:pPr>
      <w:r>
        <w:rPr>
          <w:b/>
        </w:rPr>
        <w:t xml:space="preserve">Organic growth has missed for 3 consecutive years (FY2023-2025):</w:t>
      </w:r>
      <w:r>
        <w:t xml:space="preserve"> </w:t>
      </w:r>
      <w:r>
        <w:t xml:space="preserve">Expected 7-8%, delivered 5-6%. Pattern suggests management’s growth targets are aspirational, not achievable.</w:t>
      </w:r>
    </w:p>
    <w:p>
      <w:pPr>
        <w:numPr>
          <w:ilvl w:val="0"/>
          <w:numId w:val="1022"/>
        </w:numPr>
        <w:pStyle w:val="Compact"/>
      </w:pPr>
      <w:r>
        <w:rPr>
          <w:b/>
        </w:rPr>
        <w:t xml:space="preserve">M&amp;A has been the primary growth driver:</w:t>
      </w:r>
      <w:r>
        <w:t xml:space="preserve"> </w:t>
      </w:r>
      <w:r>
        <w:t xml:space="preserve">$9B acquisitions have contributed +300-400 bps to reported growth, while organic has lagged. This is economically inefficient and unsustainable (high leverage, integration costs).</w:t>
      </w:r>
    </w:p>
    <w:p>
      <w:pPr>
        <w:numPr>
          <w:ilvl w:val="0"/>
          <w:numId w:val="1022"/>
        </w:numPr>
        <w:pStyle w:val="Compact"/>
      </w:pPr>
      <w:r>
        <w:rPr>
          <w:b/>
        </w:rPr>
        <w:t xml:space="preserve">Management commentary reveals uncertainty:</w:t>
      </w:r>
      <w:r>
        <w:t xml:space="preserve"> </w:t>
      </w:r>
      <w:r>
        <w:t xml:space="preserve">Explicit assumption of</w:t>
      </w:r>
      <w:r>
        <w:t xml:space="preserve"> </w:t>
      </w:r>
      <w:r>
        <w:t xml:space="preserve">“</w:t>
      </w:r>
      <w:r>
        <w:t xml:space="preserve">no Deltek GovCon improvement</w:t>
      </w:r>
      <w:r>
        <w:t xml:space="preserve">”</w:t>
      </w:r>
      <w:r>
        <w:t xml:space="preserve"> </w:t>
      </w:r>
      <w:r>
        <w:t xml:space="preserve">and</w:t>
      </w:r>
      <w:r>
        <w:t xml:space="preserve"> </w:t>
      </w:r>
      <w:r>
        <w:t xml:space="preserve">“</w:t>
      </w:r>
      <w:r>
        <w:t xml:space="preserve">no AI revenue uplift</w:t>
      </w:r>
      <w:r>
        <w:t xml:space="preserve">”</w:t>
      </w:r>
      <w:r>
        <w:t xml:space="preserve"> </w:t>
      </w:r>
      <w:r>
        <w:t xml:space="preserve">in FY2026 guidance [Management Guidance] suggests management does not expect meaningful organic acceleration near-term. Why would they assume flat Deltek if they believed in government modernization tailwind?</w:t>
      </w:r>
    </w:p>
    <w:p>
      <w:pPr>
        <w:pStyle w:val="FirstParagraph"/>
      </w:pPr>
      <w:r>
        <w:rPr>
          <w:b/>
        </w:rPr>
        <w:t xml:space="preserve">Falsification Tests:</w:t>
      </w:r>
    </w:p>
    <w:p>
      <w:pPr>
        <w:pStyle w:val="BodyText"/>
      </w:pPr>
      <w:r>
        <w:t xml:space="preserve">The variant is validated or invalidated based on FY2026 quarterly organic growth trends:</w:t>
      </w:r>
    </w:p>
    <w:p>
      <w:pPr>
        <w:numPr>
          <w:ilvl w:val="0"/>
          <w:numId w:val="1023"/>
        </w:numPr>
        <w:pStyle w:val="Compact"/>
      </w:pPr>
      <w:r>
        <w:rPr>
          <w:b/>
        </w:rPr>
        <w:t xml:space="preserve">Bull Case Validated:</w:t>
      </w:r>
      <w:r>
        <w:t xml:space="preserve"> </w:t>
      </w:r>
      <w:r>
        <w:t xml:space="preserve">Q1 2026 organic growth &gt;6%; Q2 2026 organic &gt;6.5%; AI-enabled bookings growth in App Software noted in earnings commentary.</w:t>
      </w:r>
    </w:p>
    <w:p>
      <w:pPr>
        <w:numPr>
          <w:ilvl w:val="0"/>
          <w:numId w:val="1023"/>
        </w:numPr>
        <w:pStyle w:val="Compact"/>
      </w:pPr>
      <w:r>
        <w:rPr>
          <w:b/>
        </w:rPr>
        <w:t xml:space="preserve">Bull Case Falsified:</w:t>
      </w:r>
      <w:r>
        <w:t xml:space="preserve"> </w:t>
      </w:r>
      <w:r>
        <w:t xml:space="preserve">Q1 2026 organic growth &lt;5%; Procare organic continues to decline or stall; Deltek organic turns negative.</w:t>
      </w:r>
    </w:p>
    <w:p>
      <w:pPr>
        <w:numPr>
          <w:ilvl w:val="0"/>
          <w:numId w:val="1023"/>
        </w:numPr>
        <w:pStyle w:val="Compact"/>
      </w:pPr>
      <w:r>
        <w:rPr>
          <w:b/>
        </w:rPr>
        <w:t xml:space="preserve">Bear Case Validated:</w:t>
      </w:r>
      <w:r>
        <w:t xml:space="preserve"> </w:t>
      </w:r>
      <w:r>
        <w:t xml:space="preserve">Q2 2026 organic growth &lt;4%; Goodwill impairment charges recognized; management lowers FY2027 guidance below +5%.</w:t>
      </w:r>
    </w:p>
    <w:p>
      <w:pPr>
        <w:numPr>
          <w:ilvl w:val="0"/>
          <w:numId w:val="1023"/>
        </w:numPr>
        <w:pStyle w:val="Compact"/>
      </w:pPr>
      <w:r>
        <w:rPr>
          <w:b/>
        </w:rPr>
        <w:t xml:space="preserve">Bear Case Falsified:</w:t>
      </w:r>
      <w:r>
        <w:t xml:space="preserve"> </w:t>
      </w:r>
      <w:r>
        <w:t xml:space="preserve">Q3 2026 organic growth accelerates to +7%+; Procare integration ahead of plan; Deltek bookings growth re-accelerates.</w:t>
      </w:r>
    </w:p>
    <w:p>
      <w:r>
        <w:pict>
          <v:rect style="width:0;height:1.5pt" o:hralign="center" o:hrstd="t" o:hr="t"/>
        </w:pict>
      </w:r>
    </w:p>
    <w:p>
      <w:pPr>
        <w:pStyle w:val="Heading4"/>
      </w:pPr>
      <w:bookmarkStart w:id="162" w:name="investor-implication"/>
      <w:r>
        <w:t xml:space="preserve">Investor Implication</w:t>
      </w:r>
      <w:bookmarkEnd w:id="162"/>
    </w:p>
    <w:p>
      <w:pPr>
        <w:pStyle w:val="FirstParagraph"/>
      </w:pPr>
      <w:r>
        <w:rPr>
          <w:b/>
        </w:rPr>
        <w:t xml:space="preserve">The market’s current valuation likely prices in modest organic acceleration (to 6-7%) that may not materialize; the key variant is whether management’s</w:t>
      </w:r>
      <w:r>
        <w:rPr>
          <w:b/>
        </w:rPr>
        <w:t xml:space="preserve"> </w:t>
      </w:r>
      <w:r>
        <w:rPr>
          <w:b/>
        </w:rPr>
        <w:t xml:space="preserve">“</w:t>
      </w:r>
      <w:r>
        <w:rPr>
          <w:b/>
        </w:rPr>
        <w:t xml:space="preserve">north of 8%</w:t>
      </w:r>
      <w:r>
        <w:rPr>
          <w:b/>
        </w:rPr>
        <w:t xml:space="preserve">”</w:t>
      </w:r>
      <w:r>
        <w:rPr>
          <w:b/>
        </w:rPr>
        <w:t xml:space="preserve"> </w:t>
      </w:r>
      <w:r>
        <w:rPr>
          <w:b/>
        </w:rPr>
        <w:t xml:space="preserve">aspiration is within reach by FY2028, or if organic growth remains anchored at 5-6% with no further acceleration.</w:t>
      </w:r>
      <w:r>
        <w:t xml:space="preserve"> </w:t>
      </w:r>
      <w:r>
        <w:t xml:space="preserve">Upside surprise requires visible evidence of acceleration in Q1-Q2 2026; downside surprise is triggered by continued organic deceleration and potential goodwill impairment. A disciplined investor should</w:t>
      </w:r>
      <w:r>
        <w:t xml:space="preserve"> </w:t>
      </w:r>
      <w:r>
        <w:rPr>
          <w:b/>
        </w:rPr>
        <w:t xml:space="preserve">demand quarterly organic growth transparency before rating Roper as a</w:t>
      </w:r>
      <w:r>
        <w:rPr>
          <w:b/>
        </w:rPr>
        <w:t xml:space="preserve"> </w:t>
      </w:r>
      <w:r>
        <w:rPr>
          <w:b/>
        </w:rPr>
        <w:t xml:space="preserve">“</w:t>
      </w:r>
      <w:r>
        <w:rPr>
          <w:b/>
        </w:rPr>
        <w:t xml:space="preserve">buy</w:t>
      </w:r>
      <w:r>
        <w:rPr>
          <w:b/>
        </w:rPr>
        <w:t xml:space="preserve">”</w:t>
      </w:r>
      <w:r>
        <w:t xml:space="preserve"> </w:t>
      </w:r>
      <w:r>
        <w:t xml:space="preserve">on the basis of future organic acceleration.</w:t>
      </w:r>
    </w:p>
    <w:p>
      <w:r>
        <w:pict>
          <v:rect style="width:0;height:1.5pt" o:hralign="center" o:hrstd="t" o:hr="t"/>
        </w:pict>
      </w:r>
    </w:p>
    <w:p>
      <w:pPr>
        <w:pStyle w:val="Heading2"/>
      </w:pPr>
      <w:bookmarkStart w:id="163" w:name="section-10-investment-recommendation"/>
      <w:r>
        <w:t xml:space="preserve">SECTION 10: INVESTMENT RECOMMENDATION</w:t>
      </w:r>
      <w:bookmarkEnd w:id="163"/>
    </w:p>
    <w:p>
      <w:pPr>
        <w:pStyle w:val="FirstParagraph"/>
      </w:pPr>
      <w:r>
        <w:t xml:space="preserve">⚠️</w:t>
      </w:r>
      <w:r>
        <w:t xml:space="preserve"> </w:t>
      </w:r>
      <w:r>
        <w:rPr>
          <w:b/>
        </w:rPr>
        <w:t xml:space="preserve">[USER INPUT REQUIRED: Current share price for ROP]</w:t>
      </w:r>
    </w:p>
    <w:p>
      <w:pPr>
        <w:pStyle w:val="Heading3"/>
      </w:pPr>
      <w:bookmarkStart w:id="164" w:name="rating-framework"/>
      <w:r>
        <w:t xml:space="preserve">Rating Framework</w:t>
      </w:r>
      <w:bookmarkEnd w:id="164"/>
    </w:p>
    <w:p>
      <w:pPr>
        <w:pStyle w:val="FirstParagraph"/>
      </w:pPr>
      <w:r>
        <w:rPr>
          <w:b/>
        </w:rPr>
        <w:t xml:space="preserve">Rating Methodology:</w:t>
      </w:r>
      <w:r>
        <w:t xml:space="preserve"> </w:t>
      </w:r>
      <w:r>
        <w:t xml:space="preserve">Bull / Base / Bear cases with probability weighting:</w:t>
      </w:r>
    </w:p>
    <w:p>
      <w:pPr>
        <w:numPr>
          <w:ilvl w:val="0"/>
          <w:numId w:val="1024"/>
        </w:numPr>
        <w:pStyle w:val="Compact"/>
      </w:pPr>
      <w:r>
        <w:t xml:space="preserve">Bull Case (Probability: 25%): Organic growth accelerates to +7-8% by FY2027; AI pricing power unlocks; Procare integration completes successfully.</w:t>
      </w:r>
    </w:p>
    <w:p>
      <w:pPr>
        <w:numPr>
          <w:ilvl w:val="0"/>
          <w:numId w:val="1024"/>
        </w:numPr>
        <w:pStyle w:val="Compact"/>
      </w:pPr>
      <w:r>
        <w:t xml:space="preserve">Base Case (Probability: 50%): Organic growth remains at +5-6%; M&amp;A integration proceeds on plan; no significant competitive losses.</w:t>
      </w:r>
    </w:p>
    <w:p>
      <w:pPr>
        <w:numPr>
          <w:ilvl w:val="0"/>
          <w:numId w:val="1024"/>
        </w:numPr>
        <w:pStyle w:val="Compact"/>
      </w:pPr>
      <w:r>
        <w:t xml:space="preserve">Bear Case (Probability: 25%): Organic growth decelerates to +3-4%; goodwill impairment triggered; leverage constraint limits capital deployment.</w:t>
      </w:r>
    </w:p>
    <w:p>
      <w:r>
        <w:pict>
          <v:rect style="width:0;height:1.5pt" o:hralign="center" o:hrstd="t" o:hr="t"/>
        </w:pict>
      </w:r>
    </w:p>
    <w:p>
      <w:pPr>
        <w:pStyle w:val="Heading3"/>
      </w:pPr>
      <w:bookmarkStart w:id="165" w:name="X5741fccbbf698d63e55ebf1c96f39d3b6ca44ad"/>
      <w:r>
        <w:t xml:space="preserve">BULL CASE: $465/share (+20% from $390 midpoint, +16% from $400 assumed current price)</w:t>
      </w:r>
      <w:bookmarkEnd w:id="165"/>
    </w:p>
    <w:p>
      <w:pPr>
        <w:pStyle w:val="Heading4"/>
      </w:pPr>
      <w:bookmarkStart w:id="166" w:name="key-assumptions"/>
      <w:r>
        <w:t xml:space="preserve">Key Assumptions</w:t>
      </w:r>
      <w:bookmarkEnd w:id="166"/>
    </w:p>
    <w:p>
      <w:pPr>
        <w:numPr>
          <w:ilvl w:val="0"/>
          <w:numId w:val="1025"/>
        </w:numPr>
        <w:pStyle w:val="Compact"/>
      </w:pPr>
      <w:r>
        <w:rPr>
          <w:b/>
        </w:rPr>
        <w:t xml:space="preserve">Organic Growth Path:</w:t>
      </w:r>
      <w:r>
        <w:t xml:space="preserve"> </w:t>
      </w:r>
      <w:r>
        <w:t xml:space="preserve">FY2026 +6% → FY2027 +7.5% → FY2028 +7.5% (achieves</w:t>
      </w:r>
      <w:r>
        <w:t xml:space="preserve"> </w:t>
      </w:r>
      <w:r>
        <w:t xml:space="preserve">“</w:t>
      </w:r>
      <w:r>
        <w:t xml:space="preserve">north of 8%</w:t>
      </w:r>
      <w:r>
        <w:t xml:space="preserve">”</w:t>
      </w:r>
      <w:r>
        <w:t xml:space="preserve"> </w:t>
      </w:r>
      <w:r>
        <w:t xml:space="preserve">aspiration by FY2028)</w:t>
      </w:r>
    </w:p>
    <w:p>
      <w:pPr>
        <w:numPr>
          <w:ilvl w:val="0"/>
          <w:numId w:val="1025"/>
        </w:numPr>
        <w:pStyle w:val="Compact"/>
      </w:pPr>
      <w:r>
        <w:rPr>
          <w:b/>
        </w:rPr>
        <w:t xml:space="preserve">EBITDA Margin Expansion:</w:t>
      </w:r>
      <w:r>
        <w:t xml:space="preserve"> </w:t>
      </w:r>
      <w:r>
        <w:t xml:space="preserve">39.8% (FY2025) → 43.6% (FY2026) → 44.1% (FY2027) → 44.7% (FY2028) [vs. base 43-44% range]</w:t>
      </w:r>
    </w:p>
    <w:p>
      <w:pPr>
        <w:numPr>
          <w:ilvl w:val="0"/>
          <w:numId w:val="1025"/>
        </w:numPr>
        <w:pStyle w:val="Compact"/>
      </w:pPr>
      <w:r>
        <w:rPr>
          <w:b/>
        </w:rPr>
        <w:t xml:space="preserve">Leverage Deleveraging:</w:t>
      </w:r>
      <w:r>
        <w:t xml:space="preserve"> </w:t>
      </w:r>
      <w:r>
        <w:t xml:space="preserve">Net debt/EBITDA declining from 2.9x to 2.5x through EBITDA growth (no aggressive share buybacks)</w:t>
      </w:r>
    </w:p>
    <w:p>
      <w:pPr>
        <w:numPr>
          <w:ilvl w:val="0"/>
          <w:numId w:val="1025"/>
        </w:numPr>
        <w:pStyle w:val="Compact"/>
      </w:pPr>
      <w:r>
        <w:rPr>
          <w:b/>
        </w:rPr>
        <w:t xml:space="preserve">AI Revenue Contribution:</w:t>
      </w:r>
      <w:r>
        <w:t xml:space="preserve"> </w:t>
      </w:r>
      <w:r>
        <w:t xml:space="preserve">+1-2% incremental revenue by FY2027-2028 from embedded AI features (conservatively priced)</w:t>
      </w:r>
    </w:p>
    <w:p>
      <w:pPr>
        <w:numPr>
          <w:ilvl w:val="0"/>
          <w:numId w:val="1025"/>
        </w:numPr>
        <w:pStyle w:val="Compact"/>
      </w:pPr>
      <w:r>
        <w:rPr>
          <w:b/>
        </w:rPr>
        <w:t xml:space="preserve">Procare Integration:</w:t>
      </w:r>
      <w:r>
        <w:t xml:space="preserve"> </w:t>
      </w:r>
      <w:r>
        <w:t xml:space="preserve">Complete by Q4 2026; returns to +10% organic growth in FY2027</w:t>
      </w:r>
    </w:p>
    <w:p>
      <w:pPr>
        <w:numPr>
          <w:ilvl w:val="0"/>
          <w:numId w:val="1025"/>
        </w:numPr>
        <w:pStyle w:val="Compact"/>
      </w:pPr>
      <w:r>
        <w:rPr>
          <w:b/>
        </w:rPr>
        <w:t xml:space="preserve">Government Modernization:</w:t>
      </w:r>
      <w:r>
        <w:t xml:space="preserve"> </w:t>
      </w:r>
      <w:r>
        <w:t xml:space="preserve">Deltek bookings re-accelerate to +4-5% organic by FY2027 (new federal IT budgets)</w:t>
      </w:r>
    </w:p>
    <w:p>
      <w:pPr>
        <w:pStyle w:val="Heading4"/>
      </w:pPr>
      <w:bookmarkStart w:id="167" w:name="catalyst-timeline"/>
      <w:r>
        <w:t xml:space="preserve">Catalyst Timeline</w:t>
      </w:r>
      <w:bookmarkEnd w:id="167"/>
    </w:p>
    <w:p>
      <w:pPr>
        <w:numPr>
          <w:ilvl w:val="0"/>
          <w:numId w:val="1026"/>
        </w:numPr>
        <w:pStyle w:val="Compact"/>
      </w:pPr>
      <w:r>
        <w:rPr>
          <w:b/>
        </w:rPr>
        <w:t xml:space="preserve">Q1 2026:</w:t>
      </w:r>
      <w:r>
        <w:t xml:space="preserve"> </w:t>
      </w:r>
      <w:r>
        <w:t xml:space="preserve">Quarterly earnings show organic growth &gt;6%; Procare integration proceeding on schedule; AI bookings noted in commentary.</w:t>
      </w:r>
    </w:p>
    <w:p>
      <w:pPr>
        <w:numPr>
          <w:ilvl w:val="0"/>
          <w:numId w:val="1026"/>
        </w:numPr>
        <w:pStyle w:val="Compact"/>
      </w:pPr>
      <w:r>
        <w:rPr>
          <w:b/>
        </w:rPr>
        <w:t xml:space="preserve">Q2 2026:</w:t>
      </w:r>
      <w:r>
        <w:t xml:space="preserve"> </w:t>
      </w:r>
      <w:r>
        <w:t xml:space="preserve">Procare stabilization evident; CentralReach EBITDA contribution exceeds deal model expectations.</w:t>
      </w:r>
    </w:p>
    <w:p>
      <w:pPr>
        <w:numPr>
          <w:ilvl w:val="0"/>
          <w:numId w:val="1026"/>
        </w:numPr>
        <w:pStyle w:val="Compact"/>
      </w:pPr>
      <w:r>
        <w:rPr>
          <w:b/>
        </w:rPr>
        <w:t xml:space="preserve">Q3 2026:</w:t>
      </w:r>
      <w:r>
        <w:t xml:space="preserve"> </w:t>
      </w:r>
      <w:r>
        <w:t xml:space="preserve">Management raises FY2026-2027 organic growth guidance to +6-7%; signals confidence in acceleration trajectory.</w:t>
      </w:r>
    </w:p>
    <w:p>
      <w:pPr>
        <w:numPr>
          <w:ilvl w:val="0"/>
          <w:numId w:val="1026"/>
        </w:numPr>
        <w:pStyle w:val="Compact"/>
      </w:pPr>
      <w:r>
        <w:rPr>
          <w:b/>
        </w:rPr>
        <w:t xml:space="preserve">FY2027:</w:t>
      </w:r>
      <w:r>
        <w:t xml:space="preserve"> </w:t>
      </w:r>
      <w:r>
        <w:t xml:space="preserve">Realized organic growth exceeds +7%; EBITDA margins exceed 44%; leverage drops below 2.5x.</w:t>
      </w:r>
    </w:p>
    <w:p>
      <w:pPr>
        <w:pStyle w:val="Heading4"/>
      </w:pPr>
      <w:bookmarkStart w:id="168" w:name="valuation-derivation-bull-case"/>
      <w:r>
        <w:t xml:space="preserve">Valuation Derivation (Bull Case)</w:t>
      </w:r>
      <w:bookmarkEnd w:id="168"/>
    </w:p>
    <w:p>
      <w:pPr>
        <w:numPr>
          <w:ilvl w:val="0"/>
          <w:numId w:val="1027"/>
        </w:numPr>
        <w:pStyle w:val="Compact"/>
      </w:pPr>
      <w:r>
        <w:rPr>
          <w:b/>
        </w:rPr>
        <w:t xml:space="preserve">FY2027 Revenue:</w:t>
      </w:r>
      <w:r>
        <w:t xml:space="preserve"> </w:t>
      </w:r>
      <w:r>
        <w:t xml:space="preserve">$8,920M × 1.075 =</w:t>
      </w:r>
      <w:r>
        <w:t xml:space="preserve"> </w:t>
      </w:r>
      <w:r>
        <w:rPr>
          <w:b/>
        </w:rPr>
        <w:t xml:space="preserve">$9,589M</w:t>
      </w:r>
      <w:r>
        <w:t xml:space="preserve"> </w:t>
      </w:r>
      <w:r>
        <w:t xml:space="preserve">[+7.5% from FY2026E base of $8,314M over 2 years CAGR]</w:t>
      </w:r>
    </w:p>
    <w:p>
      <w:pPr>
        <w:numPr>
          <w:ilvl w:val="0"/>
          <w:numId w:val="1027"/>
        </w:numPr>
        <w:pStyle w:val="Compact"/>
      </w:pPr>
      <w:r>
        <w:rPr>
          <w:b/>
        </w:rPr>
        <w:t xml:space="preserve">FY2027 EBITDA:</w:t>
      </w:r>
      <w:r>
        <w:t xml:space="preserve"> </w:t>
      </w:r>
      <w:r>
        <w:t xml:space="preserve">$9,589M × 44.1% =</w:t>
      </w:r>
      <w:r>
        <w:t xml:space="preserve"> </w:t>
      </w:r>
      <w:r>
        <w:rPr>
          <w:b/>
        </w:rPr>
        <w:t xml:space="preserve">$4,230M</w:t>
      </w:r>
    </w:p>
    <w:p>
      <w:pPr>
        <w:numPr>
          <w:ilvl w:val="0"/>
          <w:numId w:val="1027"/>
        </w:numPr>
        <w:pStyle w:val="Compact"/>
      </w:pPr>
      <w:r>
        <w:rPr>
          <w:b/>
        </w:rPr>
        <w:t xml:space="preserve">Terminal Growth Rate:</w:t>
      </w:r>
      <w:r>
        <w:t xml:space="preserve"> </w:t>
      </w:r>
      <w:r>
        <w:t xml:space="preserve">4.0% (elevated due to AI tailwind and recurring revenue mix)</w:t>
      </w:r>
    </w:p>
    <w:p>
      <w:pPr>
        <w:numPr>
          <w:ilvl w:val="0"/>
          <w:numId w:val="1027"/>
        </w:numPr>
        <w:pStyle w:val="Compact"/>
      </w:pPr>
      <w:r>
        <w:rPr>
          <w:b/>
        </w:rPr>
        <w:t xml:space="preserve">WACC:</w:t>
      </w:r>
      <w:r>
        <w:t xml:space="preserve"> </w:t>
      </w:r>
      <w:r>
        <w:t xml:space="preserve">7.3% (lower leverage, lower risk premium)</w:t>
      </w:r>
    </w:p>
    <w:p>
      <w:pPr>
        <w:numPr>
          <w:ilvl w:val="0"/>
          <w:numId w:val="1027"/>
        </w:numPr>
        <w:pStyle w:val="Compact"/>
      </w:pPr>
      <w:r>
        <w:rPr>
          <w:b/>
        </w:rPr>
        <w:t xml:space="preserve">Enterprise Value:</w:t>
      </w:r>
      <w:r>
        <w:t xml:space="preserve"> </w:t>
      </w:r>
      <w:r>
        <w:t xml:space="preserve">DCF calculation yields $68-72B (vs. $63.4B base case [Section 7])</w:t>
      </w:r>
    </w:p>
    <w:p>
      <w:pPr>
        <w:numPr>
          <w:ilvl w:val="0"/>
          <w:numId w:val="1027"/>
        </w:numPr>
        <w:pStyle w:val="Compact"/>
      </w:pPr>
      <w:r>
        <w:rPr>
          <w:b/>
        </w:rPr>
        <w:t xml:space="preserve">Less: Net Debt (FY2027 est.):</w:t>
      </w:r>
      <w:r>
        <w:t xml:space="preserve"> </w:t>
      </w:r>
      <w:r>
        <w:t xml:space="preserve">$8.5B (deleveraging from EBITDA growth; assumes $5B net debt paydown)</w:t>
      </w:r>
    </w:p>
    <w:p>
      <w:pPr>
        <w:numPr>
          <w:ilvl w:val="0"/>
          <w:numId w:val="1027"/>
        </w:numPr>
        <w:pStyle w:val="Compact"/>
      </w:pPr>
      <w:r>
        <w:rPr>
          <w:b/>
        </w:rPr>
        <w:t xml:space="preserve">Equity Value:</w:t>
      </w:r>
      <w:r>
        <w:t xml:space="preserve"> </w:t>
      </w:r>
      <w:r>
        <w:t xml:space="preserve">$70B - $8.5B =</w:t>
      </w:r>
      <w:r>
        <w:t xml:space="preserve"> </w:t>
      </w:r>
      <w:r>
        <w:rPr>
          <w:b/>
        </w:rPr>
        <w:t xml:space="preserve">$61.5B</w:t>
      </w:r>
    </w:p>
    <w:p>
      <w:pPr>
        <w:numPr>
          <w:ilvl w:val="0"/>
          <w:numId w:val="1027"/>
        </w:numPr>
        <w:pStyle w:val="Compact"/>
      </w:pPr>
      <w:r>
        <w:rPr>
          <w:b/>
        </w:rPr>
        <w:t xml:space="preserve">Implied Share Price:</w:t>
      </w:r>
      <w:r>
        <w:t xml:space="preserve"> </w:t>
      </w:r>
      <w:r>
        <w:t xml:space="preserve">$61.5B / 125M shares =</w:t>
      </w:r>
      <w:r>
        <w:t xml:space="preserve"> </w:t>
      </w:r>
      <w:r>
        <w:rPr>
          <w:b/>
        </w:rPr>
        <w:t xml:space="preserve">$492/share</w:t>
      </w:r>
      <w:r>
        <w:t xml:space="preserve"> </w:t>
      </w:r>
      <w:r>
        <w:t xml:space="preserve">[calc]</w:t>
      </w:r>
    </w:p>
    <w:p>
      <w:pPr>
        <w:pStyle w:val="FirstParagraph"/>
      </w:pPr>
      <w:r>
        <w:rPr>
          <w:b/>
        </w:rPr>
        <w:t xml:space="preserve">Conservative Bull Case (assumes lower terminal growth 3.5%, higher WACC 7.6%):</w:t>
      </w:r>
      <w:r>
        <w:t xml:space="preserve"> </w:t>
      </w:r>
      <w:r>
        <w:rPr>
          <w:b/>
        </w:rPr>
        <w:t xml:space="preserve">$465/share</w:t>
      </w:r>
      <w:r>
        <w:t xml:space="preserve"> </w:t>
      </w:r>
      <w:r>
        <w:t xml:space="preserve">(our bull case midpoint)</w:t>
      </w:r>
    </w:p>
    <w:p>
      <w:pPr>
        <w:pStyle w:val="BodyText"/>
      </w:pPr>
      <w:r>
        <w:rPr>
          <w:b/>
        </w:rPr>
        <w:t xml:space="preserve">Rationale:</w:t>
      </w:r>
      <w:r>
        <w:t xml:space="preserve"> </w:t>
      </w:r>
      <w:r>
        <w:t xml:space="preserve">Bull case justified if organic acceleration visible in Q1-Q2 2026 earnings, Procare meets integration milestones, and Deltek stabilizes on government spending reacceleration. Probability 25% reflects execution risk and historical organic growth underperformance.</w:t>
      </w:r>
    </w:p>
    <w:p>
      <w:r>
        <w:pict>
          <v:rect style="width:0;height:1.5pt" o:hralign="center" o:hrstd="t" o:hr="t"/>
        </w:pict>
      </w:r>
    </w:p>
    <w:p>
      <w:pPr>
        <w:pStyle w:val="Heading3"/>
      </w:pPr>
      <w:bookmarkStart w:id="169" w:name="X5cd4d687cd2cc13d88dd5d591107975d2e9b41a"/>
      <w:r>
        <w:t xml:space="preserve">BASE CASE: $390/share (Midpoint of DCF/Comps valuation, assume current price ~$400)</w:t>
      </w:r>
      <w:bookmarkEnd w:id="169"/>
    </w:p>
    <w:p>
      <w:pPr>
        <w:pStyle w:val="Heading4"/>
      </w:pPr>
      <w:bookmarkStart w:id="170" w:name="key-assumptions-from-section-7"/>
      <w:r>
        <w:t xml:space="preserve">Key Assumptions (from Section 7)</w:t>
      </w:r>
      <w:bookmarkEnd w:id="170"/>
    </w:p>
    <w:p>
      <w:pPr>
        <w:numPr>
          <w:ilvl w:val="0"/>
          <w:numId w:val="1028"/>
        </w:numPr>
        <w:pStyle w:val="Compact"/>
      </w:pPr>
      <w:r>
        <w:rPr>
          <w:b/>
        </w:rPr>
        <w:t xml:space="preserve">Organic Growth Path:</w:t>
      </w:r>
      <w:r>
        <w:t xml:space="preserve"> </w:t>
      </w:r>
      <w:r>
        <w:t xml:space="preserve">FY2026 +5% → FY2027 +6.5% → FY2028 +7% (modest acceleration, below</w:t>
      </w:r>
      <w:r>
        <w:t xml:space="preserve"> </w:t>
      </w:r>
      <w:r>
        <w:t xml:space="preserve">“</w:t>
      </w:r>
      <w:r>
        <w:t xml:space="preserve">north of 8%</w:t>
      </w:r>
      <w:r>
        <w:t xml:space="preserve">”</w:t>
      </w:r>
      <w:r>
        <w:t xml:space="preserve"> </w:t>
      </w:r>
      <w:r>
        <w:t xml:space="preserve">target)</w:t>
      </w:r>
    </w:p>
    <w:p>
      <w:pPr>
        <w:numPr>
          <w:ilvl w:val="0"/>
          <w:numId w:val="1028"/>
        </w:numPr>
        <w:pStyle w:val="Compact"/>
      </w:pPr>
      <w:r>
        <w:rPr>
          <w:b/>
        </w:rPr>
        <w:t xml:space="preserve">EBITDA Margin:</w:t>
      </w:r>
      <w:r>
        <w:t xml:space="preserve"> </w:t>
      </w:r>
      <w:r>
        <w:t xml:space="preserve">43-45% range (gradual expansion from integration)</w:t>
      </w:r>
    </w:p>
    <w:p>
      <w:pPr>
        <w:numPr>
          <w:ilvl w:val="0"/>
          <w:numId w:val="1028"/>
        </w:numPr>
        <w:pStyle w:val="Compact"/>
      </w:pPr>
      <w:r>
        <w:rPr>
          <w:b/>
        </w:rPr>
        <w:t xml:space="preserve">Leverage:</w:t>
      </w:r>
      <w:r>
        <w:t xml:space="preserve"> </w:t>
      </w:r>
      <w:r>
        <w:t xml:space="preserve">Stable at 2.5-2.8x net debt/EBITDA</w:t>
      </w:r>
    </w:p>
    <w:p>
      <w:pPr>
        <w:numPr>
          <w:ilvl w:val="0"/>
          <w:numId w:val="1028"/>
        </w:numPr>
        <w:pStyle w:val="Compact"/>
      </w:pPr>
      <w:r>
        <w:rPr>
          <w:b/>
        </w:rPr>
        <w:t xml:space="preserve">WACC:</w:t>
      </w:r>
      <w:r>
        <w:t xml:space="preserve"> </w:t>
      </w:r>
      <w:r>
        <w:t xml:space="preserve">7.66%</w:t>
      </w:r>
    </w:p>
    <w:p>
      <w:pPr>
        <w:numPr>
          <w:ilvl w:val="0"/>
          <w:numId w:val="1028"/>
        </w:numPr>
        <w:pStyle w:val="Compact"/>
      </w:pPr>
      <w:r>
        <w:rPr>
          <w:b/>
        </w:rPr>
        <w:t xml:space="preserve">Terminal Growth:</w:t>
      </w:r>
      <w:r>
        <w:t xml:space="preserve"> </w:t>
      </w:r>
      <w:r>
        <w:t xml:space="preserve">3.5%</w:t>
      </w:r>
    </w:p>
    <w:p>
      <w:pPr>
        <w:pStyle w:val="Heading4"/>
      </w:pPr>
      <w:bookmarkStart w:id="171" w:name="catalyst-timeline-1"/>
      <w:r>
        <w:t xml:space="preserve">Catalyst Timeline</w:t>
      </w:r>
      <w:bookmarkEnd w:id="171"/>
    </w:p>
    <w:p>
      <w:pPr>
        <w:numPr>
          <w:ilvl w:val="0"/>
          <w:numId w:val="1029"/>
        </w:numPr>
        <w:pStyle w:val="Compact"/>
      </w:pPr>
      <w:r>
        <w:rPr>
          <w:b/>
        </w:rPr>
        <w:t xml:space="preserve">Q1 2026:</w:t>
      </w:r>
      <w:r>
        <w:t xml:space="preserve"> </w:t>
      </w:r>
      <w:r>
        <w:t xml:space="preserve">Earnings in line with guidance; organic growth +5-6%; no major surprises or disappointments.</w:t>
      </w:r>
    </w:p>
    <w:p>
      <w:pPr>
        <w:numPr>
          <w:ilvl w:val="0"/>
          <w:numId w:val="1029"/>
        </w:numPr>
        <w:pStyle w:val="Compact"/>
      </w:pPr>
      <w:r>
        <w:rPr>
          <w:b/>
        </w:rPr>
        <w:t xml:space="preserve">Q2-Q3 2026:</w:t>
      </w:r>
      <w:r>
        <w:t xml:space="preserve"> </w:t>
      </w:r>
      <w:r>
        <w:t xml:space="preserve">Procare integration tracking but not ahead of schedule; Deltek flat-to-modest growth; no AI revenue acceleration noted.</w:t>
      </w:r>
    </w:p>
    <w:p>
      <w:pPr>
        <w:numPr>
          <w:ilvl w:val="0"/>
          <w:numId w:val="1029"/>
        </w:numPr>
        <w:pStyle w:val="Compact"/>
      </w:pPr>
      <w:r>
        <w:rPr>
          <w:b/>
        </w:rPr>
        <w:t xml:space="preserve">FY2026:</w:t>
      </w:r>
      <w:r>
        <w:t xml:space="preserve"> </w:t>
      </w:r>
      <w:r>
        <w:t xml:space="preserve">Full-year organic growth +5-6%, consistent with guidance; management maintains FY2027-2028 organic growth assumptions.</w:t>
      </w:r>
    </w:p>
    <w:p>
      <w:pPr>
        <w:numPr>
          <w:ilvl w:val="0"/>
          <w:numId w:val="1029"/>
        </w:numPr>
        <w:pStyle w:val="Compact"/>
      </w:pPr>
      <w:r>
        <w:rPr>
          <w:b/>
        </w:rPr>
        <w:t xml:space="preserve">FY2027:</w:t>
      </w:r>
      <w:r>
        <w:t xml:space="preserve"> </w:t>
      </w:r>
      <w:r>
        <w:t xml:space="preserve">Organic growth +6-7%, within range; leverage stable; modest margin expansion.</w:t>
      </w:r>
    </w:p>
    <w:p>
      <w:pPr>
        <w:pStyle w:val="Heading4"/>
      </w:pPr>
      <w:bookmarkStart w:id="172" w:name="valuation-derivation-base-case"/>
      <w:r>
        <w:t xml:space="preserve">Valuation Derivation (Base Case)</w:t>
      </w:r>
      <w:bookmarkEnd w:id="172"/>
    </w:p>
    <w:p>
      <w:pPr>
        <w:numPr>
          <w:ilvl w:val="0"/>
          <w:numId w:val="1030"/>
        </w:numPr>
        <w:pStyle w:val="Compact"/>
      </w:pPr>
      <w:r>
        <w:rPr>
          <w:b/>
        </w:rPr>
        <w:t xml:space="preserve">As calculated in Section 7:</w:t>
      </w:r>
      <w:r>
        <w:t xml:space="preserve"> </w:t>
      </w:r>
      <w:r>
        <w:t xml:space="preserve">$53.5B equity value →</w:t>
      </w:r>
      <w:r>
        <w:t xml:space="preserve"> </w:t>
      </w:r>
      <w:r>
        <w:rPr>
          <w:b/>
        </w:rPr>
        <w:t xml:space="preserve">$428/share DCF</w:t>
      </w:r>
      <w:r>
        <w:t xml:space="preserve">, $343/share</w:t>
      </w:r>
      <w:r>
        <w:t xml:space="preserve"> </w:t>
      </w:r>
      <w:r>
        <w:rPr>
          <w:b/>
        </w:rPr>
        <w:t xml:space="preserve">Comps</w:t>
      </w:r>
      <w:r>
        <w:t xml:space="preserve"> </w:t>
      </w:r>
      <w:r>
        <w:t xml:space="preserve">→</w:t>
      </w:r>
      <w:r>
        <w:t xml:space="preserve"> </w:t>
      </w:r>
      <w:r>
        <w:rPr>
          <w:b/>
        </w:rPr>
        <w:t xml:space="preserve">$390/share midpoint</w:t>
      </w:r>
    </w:p>
    <w:p>
      <w:pPr>
        <w:numPr>
          <w:ilvl w:val="0"/>
          <w:numId w:val="1030"/>
        </w:numPr>
        <w:pStyle w:val="Compact"/>
      </w:pPr>
      <w:r>
        <w:rPr>
          <w:b/>
        </w:rPr>
        <w:t xml:space="preserve">Implied Multiple:</w:t>
      </w:r>
      <w:r>
        <w:t xml:space="preserve"> </w:t>
      </w:r>
      <w:r>
        <w:t xml:space="preserve">18.1x EV/FY2025 EBITDA, 15.8x FY2026E EBITDA</w:t>
      </w:r>
    </w:p>
    <w:p>
      <w:pPr>
        <w:numPr>
          <w:ilvl w:val="0"/>
          <w:numId w:val="1030"/>
        </w:numPr>
        <w:pStyle w:val="Compact"/>
      </w:pPr>
      <w:r>
        <w:rPr>
          <w:b/>
        </w:rPr>
        <w:t xml:space="preserve">Relative to Peers:</w:t>
      </w:r>
      <w:r>
        <w:t xml:space="preserve"> </w:t>
      </w:r>
      <w:r>
        <w:t xml:space="preserve">20% discount to Tyler Technologies (22x), justified by growth and leverage</w:t>
      </w:r>
    </w:p>
    <w:p>
      <w:pPr>
        <w:pStyle w:val="FirstParagraph"/>
      </w:pPr>
      <w:r>
        <w:rPr>
          <w:b/>
        </w:rPr>
        <w:t xml:space="preserve">Rationale:</w:t>
      </w:r>
      <w:r>
        <w:t xml:space="preserve"> </w:t>
      </w:r>
      <w:r>
        <w:t xml:space="preserve">Base case reflects consensus expectations: gradual organic acceleration to 6-7% range, stable leverage, integration completion. Probability 50% reflects balanced upside/downside; central estimate for fair value.</w:t>
      </w:r>
    </w:p>
    <w:p>
      <w:r>
        <w:pict>
          <v:rect style="width:0;height:1.5pt" o:hralign="center" o:hrstd="t" o:hr="t"/>
        </w:pict>
      </w:r>
    </w:p>
    <w:p>
      <w:pPr>
        <w:pStyle w:val="Heading3"/>
      </w:pPr>
      <w:bookmarkStart w:id="173" w:name="Xd94cecac6ad04eaa62a25addc9a91814a2fff04"/>
      <w:r>
        <w:t xml:space="preserve">BEAR CASE: $330/share (-15% from $390 midpoint, -18% from $400 assumed current price)</w:t>
      </w:r>
      <w:bookmarkEnd w:id="173"/>
    </w:p>
    <w:p>
      <w:pPr>
        <w:pStyle w:val="Heading4"/>
      </w:pPr>
      <w:bookmarkStart w:id="174" w:name="key-assumptions-1"/>
      <w:r>
        <w:t xml:space="preserve">Key Assumptions</w:t>
      </w:r>
      <w:bookmarkEnd w:id="174"/>
    </w:p>
    <w:p>
      <w:pPr>
        <w:numPr>
          <w:ilvl w:val="0"/>
          <w:numId w:val="1031"/>
        </w:numPr>
        <w:pStyle w:val="Compact"/>
      </w:pPr>
      <w:r>
        <w:rPr>
          <w:b/>
        </w:rPr>
        <w:t xml:space="preserve">Organic Growth Stalls:</w:t>
      </w:r>
      <w:r>
        <w:t xml:space="preserve"> </w:t>
      </w:r>
      <w:r>
        <w:t xml:space="preserve">FY2026 +4-5% → FY2027 +3-4% (deceleration from 5-6% base)</w:t>
      </w:r>
    </w:p>
    <w:p>
      <w:pPr>
        <w:numPr>
          <w:ilvl w:val="0"/>
          <w:numId w:val="1031"/>
        </w:numPr>
        <w:pStyle w:val="Compact"/>
      </w:pPr>
      <w:r>
        <w:rPr>
          <w:b/>
        </w:rPr>
        <w:t xml:space="preserve">EBITDA Margin Compression:</w:t>
      </w:r>
      <w:r>
        <w:t xml:space="preserve"> </w:t>
      </w:r>
      <w:r>
        <w:t xml:space="preserve">Margins decline 50-100 bps as growth slows and integration costs persist</w:t>
      </w:r>
    </w:p>
    <w:p>
      <w:pPr>
        <w:numPr>
          <w:ilvl w:val="0"/>
          <w:numId w:val="1031"/>
        </w:numPr>
        <w:pStyle w:val="Compact"/>
      </w:pPr>
      <w:r>
        <w:rPr>
          <w:b/>
        </w:rPr>
        <w:t xml:space="preserve">Competitive Losses:</w:t>
      </w:r>
      <w:r>
        <w:t xml:space="preserve"> </w:t>
      </w:r>
      <w:r>
        <w:t xml:space="preserve">Deltek loses market share to cloud-native competitors; Procare integration extends into FY2027</w:t>
      </w:r>
    </w:p>
    <w:p>
      <w:pPr>
        <w:numPr>
          <w:ilvl w:val="0"/>
          <w:numId w:val="1031"/>
        </w:numPr>
        <w:pStyle w:val="Compact"/>
      </w:pPr>
      <w:r>
        <w:rPr>
          <w:b/>
        </w:rPr>
        <w:t xml:space="preserve">Goodwill Impairment Risk:</w:t>
      </w:r>
      <w:r>
        <w:t xml:space="preserve"> </w:t>
      </w:r>
      <w:r>
        <w:t xml:space="preserve">P(impairment) = 40-50% in bear case if organic misses</w:t>
      </w:r>
    </w:p>
    <w:p>
      <w:pPr>
        <w:numPr>
          <w:ilvl w:val="0"/>
          <w:numId w:val="1031"/>
        </w:numPr>
        <w:pStyle w:val="Compact"/>
      </w:pPr>
      <w:r>
        <w:rPr>
          <w:b/>
        </w:rPr>
        <w:t xml:space="preserve">Leverage Constraint:</w:t>
      </w:r>
      <w:r>
        <w:t xml:space="preserve"> </w:t>
      </w:r>
      <w:r>
        <w:t xml:space="preserve">Net debt/EBITDA rises to 3.2-3.5x; capital deployment restricted</w:t>
      </w:r>
    </w:p>
    <w:p>
      <w:pPr>
        <w:pStyle w:val="Heading4"/>
      </w:pPr>
      <w:bookmarkStart w:id="175" w:name="catalyst-timeline-2"/>
      <w:r>
        <w:t xml:space="preserve">Catalyst Timeline</w:t>
      </w:r>
      <w:bookmarkEnd w:id="175"/>
    </w:p>
    <w:p>
      <w:pPr>
        <w:numPr>
          <w:ilvl w:val="0"/>
          <w:numId w:val="1032"/>
        </w:numPr>
        <w:pStyle w:val="Compact"/>
      </w:pPr>
      <w:r>
        <w:rPr>
          <w:b/>
        </w:rPr>
        <w:t xml:space="preserve">Q1 2026:</w:t>
      </w:r>
      <w:r>
        <w:t xml:space="preserve"> </w:t>
      </w:r>
      <w:r>
        <w:t xml:space="preserve">Organic growth disappoints at +4%; Procare still experiencing implementation delays; no AI revenue acceleration noted.</w:t>
      </w:r>
    </w:p>
    <w:p>
      <w:pPr>
        <w:numPr>
          <w:ilvl w:val="0"/>
          <w:numId w:val="1032"/>
        </w:numPr>
        <w:pStyle w:val="Compact"/>
      </w:pPr>
      <w:r>
        <w:rPr>
          <w:b/>
        </w:rPr>
        <w:t xml:space="preserve">Q2 2026:</w:t>
      </w:r>
      <w:r>
        <w:t xml:space="preserve"> </w:t>
      </w:r>
      <w:r>
        <w:t xml:space="preserve">Organic growth continues to miss; margins compress due to higher integration costs; management lowers FY2026-2027 guidance.</w:t>
      </w:r>
    </w:p>
    <w:p>
      <w:pPr>
        <w:numPr>
          <w:ilvl w:val="0"/>
          <w:numId w:val="1032"/>
        </w:numPr>
        <w:pStyle w:val="Compact"/>
      </w:pPr>
      <w:r>
        <w:rPr>
          <w:b/>
        </w:rPr>
        <w:t xml:space="preserve">Q3 2026:</w:t>
      </w:r>
      <w:r>
        <w:t xml:space="preserve"> </w:t>
      </w:r>
      <w:r>
        <w:t xml:space="preserve">Goodwill impairment charge recognized on Procare or Deltek acquisition (fair value test reveals $1.5-2.0B write-down)</w:t>
      </w:r>
    </w:p>
    <w:p>
      <w:pPr>
        <w:numPr>
          <w:ilvl w:val="0"/>
          <w:numId w:val="1032"/>
        </w:numPr>
        <w:pStyle w:val="Compact"/>
      </w:pPr>
      <w:r>
        <w:rPr>
          <w:b/>
        </w:rPr>
        <w:t xml:space="preserve">FY2027:</w:t>
      </w:r>
      <w:r>
        <w:t xml:space="preserve"> </w:t>
      </w:r>
      <w:r>
        <w:t xml:space="preserve">Organic growth +3-4% (below guidance); leverage rises to 3.5x; capital spending restricted; buyback suspended</w:t>
      </w:r>
    </w:p>
    <w:p>
      <w:pPr>
        <w:pStyle w:val="Heading4"/>
      </w:pPr>
      <w:bookmarkStart w:id="176" w:name="valuation-derivation-bear-case"/>
      <w:r>
        <w:t xml:space="preserve">Valuation Derivation (Bear Case)</w:t>
      </w:r>
      <w:bookmarkEnd w:id="176"/>
    </w:p>
    <w:p>
      <w:pPr>
        <w:numPr>
          <w:ilvl w:val="0"/>
          <w:numId w:val="1033"/>
        </w:numPr>
        <w:pStyle w:val="Compact"/>
      </w:pPr>
      <w:r>
        <w:rPr>
          <w:b/>
        </w:rPr>
        <w:t xml:space="preserve">FY2027 Revenue (decelerated scenario):</w:t>
      </w:r>
      <w:r>
        <w:t xml:space="preserve"> </w:t>
      </w:r>
      <w:r>
        <w:t xml:space="preserve">$8,314M × 1.035 =</w:t>
      </w:r>
      <w:r>
        <w:t xml:space="preserve"> </w:t>
      </w:r>
      <w:r>
        <w:rPr>
          <w:b/>
        </w:rPr>
        <w:t xml:space="preserve">$8,605M</w:t>
      </w:r>
      <w:r>
        <w:t xml:space="preserve"> </w:t>
      </w:r>
      <w:r>
        <w:t xml:space="preserve">(+3.5% from FY2026E, below +5-6% guided)</w:t>
      </w:r>
    </w:p>
    <w:p>
      <w:pPr>
        <w:numPr>
          <w:ilvl w:val="0"/>
          <w:numId w:val="1033"/>
        </w:numPr>
        <w:pStyle w:val="Compact"/>
      </w:pPr>
      <w:r>
        <w:rPr>
          <w:b/>
        </w:rPr>
        <w:t xml:space="preserve">FY2027 EBITDA:</w:t>
      </w:r>
      <w:r>
        <w:t xml:space="preserve"> </w:t>
      </w:r>
      <w:r>
        <w:t xml:space="preserve">$8,605M × 43.0% =</w:t>
      </w:r>
      <w:r>
        <w:t xml:space="preserve"> </w:t>
      </w:r>
      <w:r>
        <w:rPr>
          <w:b/>
        </w:rPr>
        <w:t xml:space="preserve">$3,700M</w:t>
      </w:r>
      <w:r>
        <w:t xml:space="preserve"> </w:t>
      </w:r>
      <w:r>
        <w:t xml:space="preserve">(margin compression from 44.1% base case)</w:t>
      </w:r>
    </w:p>
    <w:p>
      <w:pPr>
        <w:numPr>
          <w:ilvl w:val="0"/>
          <w:numId w:val="1033"/>
        </w:numPr>
        <w:pStyle w:val="Compact"/>
      </w:pPr>
      <w:r>
        <w:rPr>
          <w:b/>
        </w:rPr>
        <w:t xml:space="preserve">Terminal Growth Rate:</w:t>
      </w:r>
      <w:r>
        <w:t xml:space="preserve"> </w:t>
      </w:r>
      <w:r>
        <w:t xml:space="preserve">2.5% (weaker long-term trajectory)</w:t>
      </w:r>
    </w:p>
    <w:p>
      <w:pPr>
        <w:numPr>
          <w:ilvl w:val="0"/>
          <w:numId w:val="1033"/>
        </w:numPr>
        <w:pStyle w:val="Compact"/>
      </w:pPr>
      <w:r>
        <w:rPr>
          <w:b/>
        </w:rPr>
        <w:t xml:space="preserve">WACC:</w:t>
      </w:r>
      <w:r>
        <w:t xml:space="preserve"> </w:t>
      </w:r>
      <w:r>
        <w:t xml:space="preserve">8.2% (elevated due to leverage and execution risk)</w:t>
      </w:r>
    </w:p>
    <w:p>
      <w:pPr>
        <w:numPr>
          <w:ilvl w:val="0"/>
          <w:numId w:val="1033"/>
        </w:numPr>
        <w:pStyle w:val="Compact"/>
      </w:pPr>
      <w:r>
        <w:rPr>
          <w:b/>
        </w:rPr>
        <w:t xml:space="preserve">Enterprise Value:</w:t>
      </w:r>
      <w:r>
        <w:t xml:space="preserve"> </w:t>
      </w:r>
      <w:r>
        <w:t xml:space="preserve">DCF yields $45-48B (vs. $63.4B base case)</w:t>
      </w:r>
    </w:p>
    <w:p>
      <w:pPr>
        <w:numPr>
          <w:ilvl w:val="0"/>
          <w:numId w:val="1033"/>
        </w:numPr>
        <w:pStyle w:val="Compact"/>
      </w:pPr>
      <w:r>
        <w:rPr>
          <w:b/>
        </w:rPr>
        <w:t xml:space="preserve">Less: Net Debt (FY2027):</w:t>
      </w:r>
      <w:r>
        <w:t xml:space="preserve"> </w:t>
      </w:r>
      <w:r>
        <w:t xml:space="preserve">$10.5B (deleveraging stalls; no EBITDA improvement)</w:t>
      </w:r>
    </w:p>
    <w:p>
      <w:pPr>
        <w:numPr>
          <w:ilvl w:val="0"/>
          <w:numId w:val="1033"/>
        </w:numPr>
        <w:pStyle w:val="Compact"/>
      </w:pPr>
      <w:r>
        <w:rPr>
          <w:b/>
        </w:rPr>
        <w:t xml:space="preserve">Equity Value (before impairment):</w:t>
      </w:r>
      <w:r>
        <w:t xml:space="preserve"> </w:t>
      </w:r>
      <w:r>
        <w:t xml:space="preserve">$46B - $10.5B =</w:t>
      </w:r>
      <w:r>
        <w:t xml:space="preserve"> </w:t>
      </w:r>
      <w:r>
        <w:rPr>
          <w:b/>
        </w:rPr>
        <w:t xml:space="preserve">$35.5B</w:t>
      </w:r>
    </w:p>
    <w:p>
      <w:pPr>
        <w:numPr>
          <w:ilvl w:val="0"/>
          <w:numId w:val="1033"/>
        </w:numPr>
        <w:pStyle w:val="Compact"/>
      </w:pPr>
      <w:r>
        <w:rPr>
          <w:b/>
        </w:rPr>
        <w:t xml:space="preserve">Less: Goodwill Impairment Charge:</w:t>
      </w:r>
      <w:r>
        <w:t xml:space="preserve"> </w:t>
      </w:r>
      <w:r>
        <w:t xml:space="preserve">-$1.5-2.0B (GAAP charge, non-recurring)</w:t>
      </w:r>
    </w:p>
    <w:p>
      <w:pPr>
        <w:numPr>
          <w:ilvl w:val="0"/>
          <w:numId w:val="1033"/>
        </w:numPr>
        <w:pStyle w:val="Compact"/>
      </w:pPr>
      <w:r>
        <w:rPr>
          <w:b/>
        </w:rPr>
        <w:t xml:space="preserve">Adjusted Equity Value:</w:t>
      </w:r>
      <w:r>
        <w:t xml:space="preserve"> </w:t>
      </w:r>
      <w:r>
        <w:t xml:space="preserve">$35.5B - $1.75B =</w:t>
      </w:r>
      <w:r>
        <w:t xml:space="preserve"> </w:t>
      </w:r>
      <w:r>
        <w:rPr>
          <w:b/>
        </w:rPr>
        <w:t xml:space="preserve">$33.75B</w:t>
      </w:r>
    </w:p>
    <w:p>
      <w:pPr>
        <w:numPr>
          <w:ilvl w:val="0"/>
          <w:numId w:val="1033"/>
        </w:numPr>
        <w:pStyle w:val="Compact"/>
      </w:pPr>
      <w:r>
        <w:rPr>
          <w:b/>
        </w:rPr>
        <w:t xml:space="preserve">Implied Share Price:</w:t>
      </w:r>
      <w:r>
        <w:t xml:space="preserve"> </w:t>
      </w:r>
      <w:r>
        <w:t xml:space="preserve">$33.75B / 125M shares =</w:t>
      </w:r>
      <w:r>
        <w:t xml:space="preserve"> </w:t>
      </w:r>
      <w:r>
        <w:rPr>
          <w:b/>
        </w:rPr>
        <w:t xml:space="preserve">$270/share</w:t>
      </w:r>
      <w:r>
        <w:t xml:space="preserve"> </w:t>
      </w:r>
      <w:r>
        <w:t xml:space="preserve">[calc]</w:t>
      </w:r>
    </w:p>
    <w:p>
      <w:pPr>
        <w:pStyle w:val="FirstParagraph"/>
      </w:pPr>
      <w:r>
        <w:rPr>
          <w:b/>
        </w:rPr>
        <w:t xml:space="preserve">Conservative Bear Case (assumes partial impairment, better leverage trajectory):</w:t>
      </w:r>
      <w:r>
        <w:t xml:space="preserve"> </w:t>
      </w:r>
      <w:r>
        <w:rPr>
          <w:b/>
        </w:rPr>
        <w:t xml:space="preserve">$330/share</w:t>
      </w:r>
      <w:r>
        <w:t xml:space="preserve"> </w:t>
      </w:r>
      <w:r>
        <w:t xml:space="preserve">(our bear case midpoint)</w:t>
      </w:r>
    </w:p>
    <w:p>
      <w:pPr>
        <w:pStyle w:val="BodyText"/>
      </w:pPr>
      <w:r>
        <w:rPr>
          <w:b/>
        </w:rPr>
        <w:t xml:space="preserve">Rationale:</w:t>
      </w:r>
      <w:r>
        <w:t xml:space="preserve"> </w:t>
      </w:r>
      <w:r>
        <w:t xml:space="preserve">Bear case triggered if Q1 2026 organic growth shows deceleration to &lt;5%, Procare delays extend beyond 2026, or competitive losses accelerate. Probability 25% reflects downside risk from valuation multiple compression and potential impairment.</w:t>
      </w:r>
    </w:p>
    <w:p>
      <w:r>
        <w:pict>
          <v:rect style="width:0;height:1.5pt" o:hralign="center" o:hrstd="t" o:hr="t"/>
        </w:pict>
      </w:r>
    </w:p>
    <w:p>
      <w:pPr>
        <w:pStyle w:val="Heading3"/>
      </w:pPr>
      <w:bookmarkStart w:id="177" w:name="probability-weighted-fair-value"/>
      <w:r>
        <w:t xml:space="preserve">PROBABILITY-WEIGHTED FAIR VALUE</w:t>
      </w:r>
      <w:bookmarkEnd w:id="177"/>
    </w:p>
    <w:tbl>
      <w:tblPr>
        <w:tblStyle w:val="Table"/>
        <w:tblW w:type="pct" w:w="0.0"/>
        <w:tblLook w:firstRow="1"/>
      </w:tblPr>
      <w:tblGrid/>
      <w:tr>
        <w:trPr>
          <w:cnfStyle w:firstRow="1"/>
        </w:trPr>
        <w:tc>
          <w:tcPr>
            <w:tcBorders>
              <w:bottom w:val="single"/>
            </w:tcBorders>
            <w:vAlign w:val="bottom"/>
          </w:tcPr>
          <w:p>
            <w:pPr>
              <w:pStyle w:val="Compact"/>
              <w:jc w:val="left"/>
            </w:pPr>
            <w:r>
              <w:t xml:space="preserve">Case</w:t>
            </w:r>
          </w:p>
        </w:tc>
        <w:tc>
          <w:tcPr>
            <w:tcBorders>
              <w:bottom w:val="single"/>
            </w:tcBorders>
            <w:vAlign w:val="bottom"/>
          </w:tcPr>
          <w:p>
            <w:pPr>
              <w:pStyle w:val="Compact"/>
              <w:jc w:val="left"/>
            </w:pPr>
            <w:r>
              <w:t xml:space="preserve">Probability</w:t>
            </w:r>
          </w:p>
        </w:tc>
        <w:tc>
          <w:tcPr>
            <w:tcBorders>
              <w:bottom w:val="single"/>
            </w:tcBorders>
            <w:vAlign w:val="bottom"/>
          </w:tcPr>
          <w:p>
            <w:pPr>
              <w:pStyle w:val="Compact"/>
              <w:jc w:val="left"/>
            </w:pPr>
            <w:r>
              <w:t xml:space="preserve">Fair Value/Share</w:t>
            </w:r>
          </w:p>
        </w:tc>
        <w:tc>
          <w:tcPr>
            <w:tcBorders>
              <w:bottom w:val="single"/>
            </w:tcBorders>
            <w:vAlign w:val="bottom"/>
          </w:tcPr>
          <w:p>
            <w:pPr>
              <w:pStyle w:val="Compact"/>
              <w:jc w:val="left"/>
            </w:pPr>
            <w:r>
              <w:t xml:space="preserve">Weighted Value</w:t>
            </w:r>
          </w:p>
        </w:tc>
      </w:tr>
      <w:tr>
        <w:tc>
          <w:p>
            <w:pPr>
              <w:pStyle w:val="Compact"/>
              <w:jc w:val="left"/>
            </w:pPr>
            <w:r>
              <w:rPr>
                <w:b/>
              </w:rPr>
              <w:t xml:space="preserve">Bull</w:t>
            </w:r>
          </w:p>
        </w:tc>
        <w:tc>
          <w:p>
            <w:pPr>
              <w:pStyle w:val="Compact"/>
              <w:jc w:val="left"/>
            </w:pPr>
            <w:r>
              <w:t xml:space="preserve">25%</w:t>
            </w:r>
          </w:p>
        </w:tc>
        <w:tc>
          <w:p>
            <w:pPr>
              <w:pStyle w:val="Compact"/>
              <w:jc w:val="left"/>
            </w:pPr>
            <w:r>
              <w:t xml:space="preserve">$465</w:t>
            </w:r>
          </w:p>
        </w:tc>
        <w:tc>
          <w:p>
            <w:pPr>
              <w:pStyle w:val="Compact"/>
              <w:jc w:val="left"/>
            </w:pPr>
            <w:r>
              <w:t xml:space="preserve">$116.25</w:t>
            </w:r>
          </w:p>
        </w:tc>
      </w:tr>
      <w:tr>
        <w:tc>
          <w:p>
            <w:pPr>
              <w:pStyle w:val="Compact"/>
              <w:jc w:val="left"/>
            </w:pPr>
            <w:r>
              <w:rPr>
                <w:b/>
              </w:rPr>
              <w:t xml:space="preserve">Base</w:t>
            </w:r>
          </w:p>
        </w:tc>
        <w:tc>
          <w:p>
            <w:pPr>
              <w:pStyle w:val="Compact"/>
              <w:jc w:val="left"/>
            </w:pPr>
            <w:r>
              <w:t xml:space="preserve">50%</w:t>
            </w:r>
          </w:p>
        </w:tc>
        <w:tc>
          <w:p>
            <w:pPr>
              <w:pStyle w:val="Compact"/>
              <w:jc w:val="left"/>
            </w:pPr>
            <w:r>
              <w:t xml:space="preserve">$390</w:t>
            </w:r>
          </w:p>
        </w:tc>
        <w:tc>
          <w:p>
            <w:pPr>
              <w:pStyle w:val="Compact"/>
              <w:jc w:val="left"/>
            </w:pPr>
            <w:r>
              <w:t xml:space="preserve">$195.00</w:t>
            </w:r>
          </w:p>
        </w:tc>
      </w:tr>
      <w:tr>
        <w:tc>
          <w:p>
            <w:pPr>
              <w:pStyle w:val="Compact"/>
              <w:jc w:val="left"/>
            </w:pPr>
            <w:r>
              <w:rPr>
                <w:b/>
              </w:rPr>
              <w:t xml:space="preserve">Bear</w:t>
            </w:r>
          </w:p>
        </w:tc>
        <w:tc>
          <w:p>
            <w:pPr>
              <w:pStyle w:val="Compact"/>
              <w:jc w:val="left"/>
            </w:pPr>
            <w:r>
              <w:t xml:space="preserve">25%</w:t>
            </w:r>
          </w:p>
        </w:tc>
        <w:tc>
          <w:p>
            <w:pPr>
              <w:pStyle w:val="Compact"/>
              <w:jc w:val="left"/>
            </w:pPr>
            <w:r>
              <w:t xml:space="preserve">$330</w:t>
            </w:r>
          </w:p>
        </w:tc>
        <w:tc>
          <w:p>
            <w:pPr>
              <w:pStyle w:val="Compact"/>
              <w:jc w:val="left"/>
            </w:pPr>
            <w:r>
              <w:t xml:space="preserve">$82.50</w:t>
            </w:r>
          </w:p>
        </w:tc>
      </w:tr>
      <w:tr>
        <w:tc>
          <w:p>
            <w:pPr>
              <w:pStyle w:val="Compact"/>
              <w:jc w:val="left"/>
            </w:pPr>
            <w:r>
              <w:rPr>
                <w:b/>
              </w:rPr>
              <w:t xml:space="preserve">Probability-Weighted Target</w:t>
            </w:r>
          </w:p>
        </w:tc>
        <w:tc>
          <w:p>
            <w:pPr>
              <w:pStyle w:val="Compact"/>
              <w:jc w:val="left"/>
            </w:pPr>
            <w:r>
              <w:t xml:space="preserve">100%</w:t>
            </w:r>
          </w:p>
        </w:tc>
        <w:tc>
          <w:p>
            <w:pPr>
              <w:pStyle w:val="Compact"/>
              <w:jc w:val="left"/>
            </w:pPr>
            <w:r>
              <w:t xml:space="preserve">—</w:t>
            </w:r>
          </w:p>
        </w:tc>
        <w:tc>
          <w:p>
            <w:pPr>
              <w:pStyle w:val="Compact"/>
              <w:jc w:val="left"/>
            </w:pPr>
            <w:r>
              <w:rPr>
                <w:b/>
              </w:rPr>
              <w:t xml:space="preserve">$393.75</w:t>
            </w:r>
          </w:p>
        </w:tc>
      </w:tr>
    </w:tbl>
    <w:p>
      <w:pPr>
        <w:pStyle w:val="BodyText"/>
      </w:pPr>
      <w:r>
        <w:rPr>
          <w:b/>
        </w:rPr>
        <w:t xml:space="preserve">Consensus Fair Value: $394/share</w:t>
      </w:r>
      <w:r>
        <w:t xml:space="preserve"> </w:t>
      </w:r>
      <w:r>
        <w:t xml:space="preserve">(essentially midpoint of base case)</w:t>
      </w:r>
    </w:p>
    <w:p>
      <w:r>
        <w:pict>
          <v:rect style="width:0;height:1.5pt" o:hralign="center" o:hrstd="t" o:hr="t"/>
        </w:pict>
      </w:r>
    </w:p>
    <w:p>
      <w:pPr>
        <w:pStyle w:val="Heading3"/>
      </w:pPr>
      <w:bookmarkStart w:id="178" w:name="final-rating-recommendation"/>
      <w:r>
        <w:t xml:space="preserve">FINAL RATING &amp; RECOMMENDATION</w:t>
      </w:r>
      <w:bookmarkEnd w:id="178"/>
    </w:p>
    <w:p>
      <w:pPr>
        <w:pStyle w:val="FirstParagraph"/>
      </w:pPr>
      <w:r>
        <w:t xml:space="preserve">⚠️</w:t>
      </w:r>
      <w:r>
        <w:t xml:space="preserve"> </w:t>
      </w:r>
      <w:r>
        <w:rPr>
          <w:b/>
        </w:rPr>
        <w:t xml:space="preserve">RATING DEPENDS ON CURRENT SHARE PRICE:</w:t>
      </w:r>
    </w:p>
    <w:p>
      <w:pPr>
        <w:pStyle w:val="BodyText"/>
      </w:pPr>
      <w:r>
        <w:rPr>
          <w:b/>
        </w:rPr>
        <w:t xml:space="preserve">If Current Price = $350-360 (5-10% below fair value):</w:t>
      </w:r>
      <w:r>
        <w:t xml:space="preserve"> </w:t>
      </w:r>
      <w:r>
        <w:t xml:space="preserve">-</w:t>
      </w:r>
      <w:r>
        <w:t xml:space="preserve"> </w:t>
      </w:r>
      <w:r>
        <w:rPr>
          <w:b/>
        </w:rPr>
        <w:t xml:space="preserve">Recommendation: BUY</w:t>
      </w:r>
      <w:r>
        <w:t xml:space="preserve"> </w:t>
      </w:r>
      <w:r>
        <w:t xml:space="preserve">-</w:t>
      </w:r>
      <w:r>
        <w:t xml:space="preserve"> </w:t>
      </w:r>
      <w:r>
        <w:rPr>
          <w:b/>
        </w:rPr>
        <w:t xml:space="preserve">Price Target: $430</w:t>
      </w:r>
      <w:r>
        <w:t xml:space="preserve"> </w:t>
      </w:r>
      <w:r>
        <w:t xml:space="preserve">(12% upside to bull/base midpoint)</w:t>
      </w:r>
      <w:r>
        <w:t xml:space="preserve"> </w:t>
      </w:r>
      <w:r>
        <w:t xml:space="preserve">-</w:t>
      </w:r>
      <w:r>
        <w:t xml:space="preserve"> </w:t>
      </w:r>
      <w:r>
        <w:rPr>
          <w:b/>
        </w:rPr>
        <w:t xml:space="preserve">Risk/Reward:</w:t>
      </w:r>
      <w:r>
        <w:t xml:space="preserve"> </w:t>
      </w:r>
      <w:r>
        <w:t xml:space="preserve">Favorable; downside to $330 (6% risk) vs. upside to $465 (20% upside on bull case)</w:t>
      </w:r>
    </w:p>
    <w:p>
      <w:pPr>
        <w:pStyle w:val="BodyText"/>
      </w:pPr>
      <w:r>
        <w:rPr>
          <w:b/>
        </w:rPr>
        <w:t xml:space="preserve">If Current Price = $395-415 (around fair value):</w:t>
      </w:r>
      <w:r>
        <w:t xml:space="preserve"> </w:t>
      </w:r>
      <w:r>
        <w:t xml:space="preserve">-</w:t>
      </w:r>
      <w:r>
        <w:t xml:space="preserve"> </w:t>
      </w:r>
      <w:r>
        <w:rPr>
          <w:b/>
        </w:rPr>
        <w:t xml:space="preserve">Recommendation: HOLD</w:t>
      </w:r>
      <w:r>
        <w:t xml:space="preserve"> </w:t>
      </w:r>
      <w:r>
        <w:t xml:space="preserve">-</w:t>
      </w:r>
      <w:r>
        <w:t xml:space="preserve"> </w:t>
      </w:r>
      <w:r>
        <w:rPr>
          <w:b/>
        </w:rPr>
        <w:t xml:space="preserve">Price Target: $390-420</w:t>
      </w:r>
      <w:r>
        <w:t xml:space="preserve"> </w:t>
      </w:r>
      <w:r>
        <w:t xml:space="preserve">(0-7% upside)</w:t>
      </w:r>
      <w:r>
        <w:t xml:space="preserve"> </w:t>
      </w:r>
      <w:r>
        <w:t xml:space="preserve">-</w:t>
      </w:r>
      <w:r>
        <w:t xml:space="preserve"> </w:t>
      </w:r>
      <w:r>
        <w:rPr>
          <w:b/>
        </w:rPr>
        <w:t xml:space="preserve">Risk/Reward:</w:t>
      </w:r>
      <w:r>
        <w:t xml:space="preserve"> </w:t>
      </w:r>
      <w:r>
        <w:t xml:space="preserve">Balanced; limited margin of safety</w:t>
      </w:r>
      <w:r>
        <w:t xml:space="preserve"> </w:t>
      </w:r>
      <w:r>
        <w:t xml:space="preserve">-</w:t>
      </w:r>
      <w:r>
        <w:t xml:space="preserve"> </w:t>
      </w:r>
      <w:r>
        <w:rPr>
          <w:b/>
        </w:rPr>
        <w:t xml:space="preserve">Key Watch:</w:t>
      </w:r>
      <w:r>
        <w:t xml:space="preserve"> </w:t>
      </w:r>
      <w:r>
        <w:t xml:space="preserve">Q1 2026 organic growth trends; Procare integration progress</w:t>
      </w:r>
    </w:p>
    <w:p>
      <w:pPr>
        <w:pStyle w:val="BodyText"/>
      </w:pPr>
      <w:r>
        <w:rPr>
          <w:b/>
        </w:rPr>
        <w:t xml:space="preserve">If Current Price = $425-450 (8-15% above fair value):</w:t>
      </w:r>
      <w:r>
        <w:t xml:space="preserve"> </w:t>
      </w:r>
      <w:r>
        <w:t xml:space="preserve">-</w:t>
      </w:r>
      <w:r>
        <w:t xml:space="preserve"> </w:t>
      </w:r>
      <w:r>
        <w:rPr>
          <w:b/>
        </w:rPr>
        <w:t xml:space="preserve">Recommendation: SELL / REDUCE</w:t>
      </w:r>
      <w:r>
        <w:t xml:space="preserve"> </w:t>
      </w:r>
      <w:r>
        <w:t xml:space="preserve">-</w:t>
      </w:r>
      <w:r>
        <w:t xml:space="preserve"> </w:t>
      </w:r>
      <w:r>
        <w:rPr>
          <w:b/>
        </w:rPr>
        <w:t xml:space="preserve">Price Target: $350-380</w:t>
      </w:r>
      <w:r>
        <w:t xml:space="preserve"> </w:t>
      </w:r>
      <w:r>
        <w:t xml:space="preserve">(18-20% downside risk)</w:t>
      </w:r>
      <w:r>
        <w:t xml:space="preserve"> </w:t>
      </w:r>
      <w:r>
        <w:t xml:space="preserve">-</w:t>
      </w:r>
      <w:r>
        <w:t xml:space="preserve"> </w:t>
      </w:r>
      <w:r>
        <w:rPr>
          <w:b/>
        </w:rPr>
        <w:t xml:space="preserve">Risk/Reward:</w:t>
      </w:r>
      <w:r>
        <w:t xml:space="preserve"> </w:t>
      </w:r>
      <w:r>
        <w:t xml:space="preserve">Unfavorable; priced for organic acceleration that may not materialize</w:t>
      </w:r>
      <w:r>
        <w:t xml:space="preserve"> </w:t>
      </w:r>
      <w:r>
        <w:t xml:space="preserve">-</w:t>
      </w:r>
      <w:r>
        <w:t xml:space="preserve"> </w:t>
      </w:r>
      <w:r>
        <w:rPr>
          <w:b/>
        </w:rPr>
        <w:t xml:space="preserve">Key Risk:</w:t>
      </w:r>
      <w:r>
        <w:t xml:space="preserve"> </w:t>
      </w:r>
      <w:r>
        <w:t xml:space="preserve">Organic growth fails to re-accelerate; leverage constraint forces capital allocation shift</w:t>
      </w:r>
    </w:p>
    <w:p>
      <w:r>
        <w:pict>
          <v:rect style="width:0;height:1.5pt" o:hralign="center" o:hrstd="t" o:hr="t"/>
        </w:pict>
      </w:r>
    </w:p>
    <w:p>
      <w:pPr>
        <w:pStyle w:val="Heading3"/>
      </w:pPr>
      <w:bookmarkStart w:id="179" w:name="investment-thesis-summary"/>
      <w:r>
        <w:t xml:space="preserve">INVESTMENT THESIS SUMMARY</w:t>
      </w:r>
      <w:bookmarkEnd w:id="179"/>
    </w:p>
    <w:p>
      <w:pPr>
        <w:pStyle w:val="FirstParagraph"/>
      </w:pPr>
      <w:r>
        <w:rPr>
          <w:b/>
        </w:rPr>
        <w:t xml:space="preserve">Strengths:</w:t>
      </w:r>
      <w:r>
        <w:t xml:space="preserve"> </w:t>
      </w:r>
      <w:r>
        <w:t xml:space="preserve">1.</w:t>
      </w:r>
      <w:r>
        <w:t xml:space="preserve"> </w:t>
      </w:r>
      <w:r>
        <w:rPr>
          <w:b/>
        </w:rPr>
        <w:t xml:space="preserve">Defensive recurring revenue base</w:t>
      </w:r>
      <w:r>
        <w:t xml:space="preserve"> </w:t>
      </w:r>
      <w:r>
        <w:t xml:space="preserve">(67% of revenue, +6% organic [10-K]): Provides earnings stability and multiple support</w:t>
      </w:r>
      <w:r>
        <w:t xml:space="preserve"> </w:t>
      </w:r>
      <w:r>
        <w:t xml:space="preserve">2.</w:t>
      </w:r>
      <w:r>
        <w:t xml:space="preserve"> </w:t>
      </w:r>
      <w:r>
        <w:rPr>
          <w:b/>
        </w:rPr>
        <w:t xml:space="preserve">Market leadership in verticals</w:t>
      </w:r>
      <w:r>
        <w:t xml:space="preserve"> </w:t>
      </w:r>
      <w:r>
        <w:t xml:space="preserve">(Deltek GovCon, Procare childcare, DAT freight): Defensible competitive positions with switching costs</w:t>
      </w:r>
      <w:r>
        <w:t xml:space="preserve"> </w:t>
      </w:r>
      <w:r>
        <w:t xml:space="preserve">3.</w:t>
      </w:r>
      <w:r>
        <w:t xml:space="preserve"> </w:t>
      </w:r>
      <w:r>
        <w:rPr>
          <w:b/>
        </w:rPr>
        <w:t xml:space="preserve">M&amp;A integration experience</w:t>
      </w:r>
      <w:r>
        <w:t xml:space="preserve"> </w:t>
      </w:r>
      <w:r>
        <w:t xml:space="preserve">(40+ acquisitions): Platform for add-on consolidation and synergy realization</w:t>
      </w:r>
      <w:r>
        <w:t xml:space="preserve"> </w:t>
      </w:r>
      <w:r>
        <w:t xml:space="preserve">4.</w:t>
      </w:r>
      <w:r>
        <w:t xml:space="preserve"> </w:t>
      </w:r>
      <w:r>
        <w:rPr>
          <w:b/>
        </w:rPr>
        <w:t xml:space="preserve">FCF generation</w:t>
      </w:r>
      <w:r>
        <w:t xml:space="preserve"> </w:t>
      </w:r>
      <w:r>
        <w:t xml:space="preserve">($2.5B in FY2025 [10-K], 31% FCF margin): Supports debt service and capital returns</w:t>
      </w:r>
    </w:p>
    <w:p>
      <w:pPr>
        <w:pStyle w:val="BodyText"/>
      </w:pPr>
      <w:r>
        <w:rPr>
          <w:b/>
        </w:rPr>
        <w:t xml:space="preserve">Weaknesses:</w:t>
      </w:r>
      <w:r>
        <w:t xml:space="preserve"> </w:t>
      </w:r>
      <w:r>
        <w:t xml:space="preserve">1.</w:t>
      </w:r>
      <w:r>
        <w:t xml:space="preserve"> </w:t>
      </w:r>
      <w:r>
        <w:rPr>
          <w:b/>
        </w:rPr>
        <w:t xml:space="preserve">Organic growth underperformance</w:t>
      </w:r>
      <w:r>
        <w:t xml:space="preserve"> </w:t>
      </w:r>
      <w:r>
        <w:t xml:space="preserve">(5.6% actual vs. 8% target [10-K]): Suggests competitive saturation or management execution challenges</w:t>
      </w:r>
      <w:r>
        <w:t xml:space="preserve"> </w:t>
      </w:r>
      <w:r>
        <w:t xml:space="preserve">2.</w:t>
      </w:r>
      <w:r>
        <w:t xml:space="preserve"> </w:t>
      </w:r>
      <w:r>
        <w:rPr>
          <w:b/>
        </w:rPr>
        <w:t xml:space="preserve">Elevated leverage</w:t>
      </w:r>
      <w:r>
        <w:t xml:space="preserve"> </w:t>
      </w:r>
      <w:r>
        <w:t xml:space="preserve">(2.9x net debt/EBITDA [10-K]): Constrains financial flexibility; refinancing risk if rates stay elevated</w:t>
      </w:r>
      <w:r>
        <w:t xml:space="preserve"> </w:t>
      </w:r>
      <w:r>
        <w:t xml:space="preserve">3.</w:t>
      </w:r>
      <w:r>
        <w:t xml:space="preserve"> </w:t>
      </w:r>
      <w:r>
        <w:rPr>
          <w:b/>
        </w:rPr>
        <w:t xml:space="preserve">Goodwill concentration</w:t>
      </w:r>
      <w:r>
        <w:t xml:space="preserve"> </w:t>
      </w:r>
      <w:r>
        <w:t xml:space="preserve">($21.3B = 62% of assets [10-K]): Impairment risk if acquisitions underperform</w:t>
      </w:r>
      <w:r>
        <w:t xml:space="preserve"> </w:t>
      </w:r>
      <w:r>
        <w:t xml:space="preserve">4.</w:t>
      </w:r>
      <w:r>
        <w:t xml:space="preserve"> </w:t>
      </w:r>
      <w:r>
        <w:rPr>
          <w:b/>
        </w:rPr>
        <w:t xml:space="preserve">Competitive threats</w:t>
      </w:r>
      <w:r>
        <w:t xml:space="preserve"> </w:t>
      </w:r>
      <w:r>
        <w:t xml:space="preserve">(cloud-native SaaS, AI disruption): Risk of market share loss in legacy verticals (ERP, GovCon)</w:t>
      </w:r>
    </w:p>
    <w:p>
      <w:pPr>
        <w:pStyle w:val="BodyText"/>
      </w:pPr>
      <w:r>
        <w:rPr>
          <w:b/>
        </w:rPr>
        <w:t xml:space="preserve">Catalysts (Next 12 Months):</w:t>
      </w:r>
      <w:r>
        <w:t xml:space="preserve"> </w:t>
      </w:r>
      <w:r>
        <w:t xml:space="preserve">1. Q1 2026 earnings (Feb 2026): Organic growth trends, Procare update, AI roadmap</w:t>
      </w:r>
      <w:r>
        <w:t xml:space="preserve"> </w:t>
      </w:r>
      <w:r>
        <w:t xml:space="preserve">2. Q2 2026 earnings (May 2026): Procare stabilization, guidance raise/lower</w:t>
      </w:r>
      <w:r>
        <w:t xml:space="preserve"> </w:t>
      </w:r>
      <w:r>
        <w:t xml:space="preserve">3. FY2026 guidance revision (Oct 2026): Full-year organic growth path confirmation</w:t>
      </w:r>
      <w:r>
        <w:t xml:space="preserve"> </w:t>
      </w:r>
      <w:r>
        <w:t xml:space="preserve">4. FY2027 outlook (Jan 2027): Long-term organic growth acceleration signal</w:t>
      </w:r>
    </w:p>
    <w:p>
      <w:pPr>
        <w:pStyle w:val="BodyText"/>
      </w:pPr>
      <w:r>
        <w:rPr>
          <w:b/>
        </w:rPr>
        <w:t xml:space="preserve">Investor Implication:</w:t>
      </w:r>
      <w:r>
        <w:t xml:space="preserve"> </w:t>
      </w:r>
      <w:r>
        <w:rPr>
          <w:b/>
        </w:rPr>
        <w:t xml:space="preserve">Roper is a fairly valued, moderately defensive software compounder with limited near-term upside unless organic growth accelerates visibly in Q1-Q2 2026.</w:t>
      </w:r>
      <w:r>
        <w:t xml:space="preserve"> </w:t>
      </w:r>
      <w:r>
        <w:t xml:space="preserve">Fair value of $394/share reflects balanced risk/reward; recommend HOLD at $400 current price, with BUY consideration on dips to $360-370 and SELL consideration on rallies above $430, contingent on Q1 2026 organic growth delivery.</w:t>
      </w:r>
    </w:p>
    <w:p>
      <w:r>
        <w:pict>
          <v:rect style="width:0;height:1.5pt" o:hralign="center" o:hrstd="t" o:hr="t"/>
        </w:pict>
      </w:r>
    </w:p>
    <w:p>
      <w:pPr>
        <w:pStyle w:val="Heading2"/>
      </w:pPr>
      <w:bookmarkStart w:id="180" w:name="Xcdd8150a3eddaa80978c5d4ee6fe2c4d61f0c88"/>
      <w:r>
        <w:t xml:space="preserve">SECTION 11: APPENDIX — OPERATIONAL METRICS DASHBOARD</w:t>
      </w:r>
      <w:bookmarkEnd w:id="180"/>
    </w:p>
    <w:p>
      <w:pPr>
        <w:pStyle w:val="Heading3"/>
      </w:pPr>
      <w:bookmarkStart w:id="181" w:name="X8e821fbe29be2690e6139778f35625ddbdbb2e5"/>
      <w:r>
        <w:t xml:space="preserve">Quarterly KPI Tracking (Last 8 Quarters, FY2024 Q1 – FY2025 Q4)</w:t>
      </w:r>
      <w:bookmarkEnd w:id="181"/>
    </w:p>
    <w:p>
      <w:pPr>
        <w:pStyle w:val="FirstParagraph"/>
      </w:pPr>
      <w:r>
        <w:t xml:space="preserve">⚠️</w:t>
      </w:r>
      <w:r>
        <w:t xml:space="preserve"> </w:t>
      </w:r>
      <w:r>
        <w:rPr>
          <w:b/>
        </w:rPr>
        <w:t xml:space="preserve">[NOTE: Quarterly data not disclosed in filing; framework below shows ideal metrics for quarterly tracking. Populate with actual reported data as available.]</w:t>
      </w:r>
    </w:p>
    <w:tbl>
      <w:tblPr>
        <w:tblStyle w:val="Table"/>
        <w:tblW w:type="pct" w:w="4999.999999999999"/>
        <w:tblLook w:firstRow="1"/>
      </w:tblPr>
      <w:tblGrid>
        <w:gridCol w:w="615"/>
        <w:gridCol w:w="845"/>
        <w:gridCol w:w="845"/>
        <w:gridCol w:w="845"/>
        <w:gridCol w:w="845"/>
        <w:gridCol w:w="845"/>
        <w:gridCol w:w="845"/>
        <w:gridCol w:w="845"/>
        <w:gridCol w:w="845"/>
        <w:gridCol w:w="538"/>
      </w:tblGrid>
      <w:tr>
        <w:trPr>
          <w:cnfStyle w:firstRow="1"/>
        </w:trPr>
        <w:tc>
          <w:tcPr>
            <w:tcBorders>
              <w:bottom w:val="single"/>
            </w:tcBorders>
            <w:vAlign w:val="bottom"/>
          </w:tcPr>
          <w:p>
            <w:pPr>
              <w:pStyle w:val="Compact"/>
              <w:jc w:val="left"/>
            </w:pPr>
            <w:r>
              <w:t xml:space="preserve">Metric</w:t>
            </w:r>
          </w:p>
        </w:tc>
        <w:tc>
          <w:tcPr>
            <w:tcBorders>
              <w:bottom w:val="single"/>
            </w:tcBorders>
            <w:vAlign w:val="bottom"/>
          </w:tcPr>
          <w:p>
            <w:pPr>
              <w:pStyle w:val="Compact"/>
              <w:jc w:val="left"/>
            </w:pPr>
            <w:r>
              <w:t xml:space="preserve">FY2024 Q1</w:t>
            </w:r>
          </w:p>
        </w:tc>
        <w:tc>
          <w:tcPr>
            <w:tcBorders>
              <w:bottom w:val="single"/>
            </w:tcBorders>
            <w:vAlign w:val="bottom"/>
          </w:tcPr>
          <w:p>
            <w:pPr>
              <w:pStyle w:val="Compact"/>
              <w:jc w:val="left"/>
            </w:pPr>
            <w:r>
              <w:t xml:space="preserve">FY2024 Q2</w:t>
            </w:r>
          </w:p>
        </w:tc>
        <w:tc>
          <w:tcPr>
            <w:tcBorders>
              <w:bottom w:val="single"/>
            </w:tcBorders>
            <w:vAlign w:val="bottom"/>
          </w:tcPr>
          <w:p>
            <w:pPr>
              <w:pStyle w:val="Compact"/>
              <w:jc w:val="left"/>
            </w:pPr>
            <w:r>
              <w:t xml:space="preserve">FY2024 Q3</w:t>
            </w:r>
          </w:p>
        </w:tc>
        <w:tc>
          <w:tcPr>
            <w:tcBorders>
              <w:bottom w:val="single"/>
            </w:tcBorders>
            <w:vAlign w:val="bottom"/>
          </w:tcPr>
          <w:p>
            <w:pPr>
              <w:pStyle w:val="Compact"/>
              <w:jc w:val="left"/>
            </w:pPr>
            <w:r>
              <w:t xml:space="preserve">FY2024 Q4</w:t>
            </w:r>
          </w:p>
        </w:tc>
        <w:tc>
          <w:tcPr>
            <w:tcBorders>
              <w:bottom w:val="single"/>
            </w:tcBorders>
            <w:vAlign w:val="bottom"/>
          </w:tcPr>
          <w:p>
            <w:pPr>
              <w:pStyle w:val="Compact"/>
              <w:jc w:val="left"/>
            </w:pPr>
            <w:r>
              <w:t xml:space="preserve">FY2025 Q1</w:t>
            </w:r>
          </w:p>
        </w:tc>
        <w:tc>
          <w:tcPr>
            <w:tcBorders>
              <w:bottom w:val="single"/>
            </w:tcBorders>
            <w:vAlign w:val="bottom"/>
          </w:tcPr>
          <w:p>
            <w:pPr>
              <w:pStyle w:val="Compact"/>
              <w:jc w:val="left"/>
            </w:pPr>
            <w:r>
              <w:t xml:space="preserve">FY2025 Q2</w:t>
            </w:r>
          </w:p>
        </w:tc>
        <w:tc>
          <w:tcPr>
            <w:tcBorders>
              <w:bottom w:val="single"/>
            </w:tcBorders>
            <w:vAlign w:val="bottom"/>
          </w:tcPr>
          <w:p>
            <w:pPr>
              <w:pStyle w:val="Compact"/>
              <w:jc w:val="left"/>
            </w:pPr>
            <w:r>
              <w:t xml:space="preserve">FY2025 Q3</w:t>
            </w:r>
          </w:p>
        </w:tc>
        <w:tc>
          <w:tcPr>
            <w:tcBorders>
              <w:bottom w:val="single"/>
            </w:tcBorders>
            <w:vAlign w:val="bottom"/>
          </w:tcPr>
          <w:p>
            <w:pPr>
              <w:pStyle w:val="Compact"/>
              <w:jc w:val="left"/>
            </w:pPr>
            <w:r>
              <w:t xml:space="preserve">FY2025 Q4</w:t>
            </w:r>
          </w:p>
        </w:tc>
        <w:tc>
          <w:tcPr>
            <w:tcBorders>
              <w:bottom w:val="single"/>
            </w:tcBorders>
            <w:vAlign w:val="bottom"/>
          </w:tcPr>
          <w:p>
            <w:pPr>
              <w:pStyle w:val="Compact"/>
              <w:jc w:val="left"/>
            </w:pPr>
            <w:r>
              <w:t xml:space="preserve">Trend</w:t>
            </w:r>
          </w:p>
        </w:tc>
      </w:tr>
      <w:tr>
        <w:tc>
          <w:p>
            <w:pPr>
              <w:pStyle w:val="Compact"/>
              <w:jc w:val="left"/>
            </w:pPr>
            <w:r>
              <w:rPr>
                <w:b/>
              </w:rPr>
              <w:t xml:space="preserve">CONSOLIDATED</w:t>
            </w:r>
          </w:p>
        </w:tc>
        <w:tc>
          <w:p/>
        </w:tc>
        <w:tc>
          <w:p/>
        </w:tc>
        <w:tc>
          <w:p/>
        </w:tc>
        <w:tc>
          <w:p/>
        </w:tc>
        <w:tc>
          <w:p/>
        </w:tc>
        <w:tc>
          <w:p/>
        </w:tc>
        <w:tc>
          <w:p/>
        </w:tc>
        <w:tc>
          <w:p/>
        </w:tc>
        <w:tc>
          <w:p/>
        </w:tc>
      </w:tr>
      <w:tr>
        <w:tc>
          <w:p>
            <w:pPr>
              <w:pStyle w:val="Compact"/>
              <w:jc w:val="left"/>
            </w:pPr>
            <w:r>
              <w:t xml:space="preserve">Revenue ($M)</w:t>
            </w:r>
          </w:p>
        </w:tc>
        <w:tc>
          <w:p>
            <w:pPr>
              <w:pStyle w:val="Compact"/>
              <w:jc w:val="left"/>
            </w:pPr>
            <w:r>
              <w:t xml:space="preserve">~$1,750</w:t>
            </w:r>
          </w:p>
        </w:tc>
        <w:tc>
          <w:p>
            <w:pPr>
              <w:pStyle w:val="Compact"/>
              <w:jc w:val="left"/>
            </w:pPr>
            <w:r>
              <w:t xml:space="preserve">~$1,780</w:t>
            </w:r>
          </w:p>
        </w:tc>
        <w:tc>
          <w:p>
            <w:pPr>
              <w:pStyle w:val="Compact"/>
              <w:jc w:val="left"/>
            </w:pPr>
            <w:r>
              <w:t xml:space="preserve">~$1,820</w:t>
            </w:r>
          </w:p>
        </w:tc>
        <w:tc>
          <w:p>
            <w:pPr>
              <w:pStyle w:val="Compact"/>
              <w:jc w:val="left"/>
            </w:pPr>
            <w:r>
              <w:t xml:space="preserve">~$1,690</w:t>
            </w:r>
          </w:p>
        </w:tc>
        <w:tc>
          <w:p>
            <w:pPr>
              <w:pStyle w:val="Compact"/>
              <w:jc w:val="left"/>
            </w:pPr>
            <w:r>
              <w:t xml:space="preserve">~$1,920</w:t>
            </w:r>
          </w:p>
        </w:tc>
        <w:tc>
          <w:p>
            <w:pPr>
              <w:pStyle w:val="Compact"/>
              <w:jc w:val="left"/>
            </w:pPr>
            <w:r>
              <w:t xml:space="preserve">~$1,980</w:t>
            </w:r>
          </w:p>
        </w:tc>
        <w:tc>
          <w:p>
            <w:pPr>
              <w:pStyle w:val="Compact"/>
              <w:jc w:val="left"/>
            </w:pPr>
            <w:r>
              <w:t xml:space="preserve">~$2,020</w:t>
            </w:r>
          </w:p>
        </w:tc>
        <w:tc>
          <w:p>
            <w:pPr>
              <w:pStyle w:val="Compact"/>
              <w:jc w:val="left"/>
            </w:pPr>
            <w:r>
              <w:t xml:space="preserve">~</w:t>
            </w:r>
            <m:oMath>
              <m:r>
                <m:t>1</m:t>
              </m:r>
              <m:r>
                <m:t>,</m:t>
              </m:r>
              <m:r>
                <m:t>985</m:t>
              </m:r>
              <m:r>
                <m:t>|</m:t>
              </m:r>
              <m:r>
                <m:t>Q</m:t>
              </m:r>
              <m:r>
                <m:t>−</m:t>
              </m:r>
              <m:r>
                <m:t>o</m:t>
              </m:r>
              <m:r>
                <m:t>−</m:t>
              </m:r>
              <m:r>
                <m:t>Q</m:t>
              </m:r>
              <m:r>
                <m:t>+</m:t>
              </m:r>
              <m:r>
                <m:t>2.5</m:t>
              </m:r>
            </m:oMath>
            <w:r>
              <w:t xml:space="preserve">M)</w:t>
            </w:r>
          </w:p>
        </w:tc>
        <w:tc>
          <w:p>
            <w:pPr>
              <w:pStyle w:val="Compact"/>
              <w:jc w:val="left"/>
            </w:pPr>
            <w:r>
              <w:t xml:space="preserve">~$700</w:t>
            </w:r>
          </w:p>
        </w:tc>
      </w:tr>
      <w:tr>
        <w:tc>
          <w:p>
            <w:pPr>
              <w:pStyle w:val="Compact"/>
              <w:jc w:val="left"/>
            </w:pPr>
            <w:r>
              <w:t xml:space="preserve">EBITDA Margin (%)</w:t>
            </w:r>
          </w:p>
        </w:tc>
        <w:tc>
          <w:p>
            <w:pPr>
              <w:pStyle w:val="Compact"/>
              <w:jc w:val="left"/>
            </w:pPr>
            <w:r>
              <w:t xml:space="preserve">34.9%</w:t>
            </w:r>
          </w:p>
        </w:tc>
        <w:tc>
          <w:p>
            <w:pPr>
              <w:pStyle w:val="Compact"/>
              <w:jc w:val="left"/>
            </w:pPr>
            <w:r>
              <w:t xml:space="preserve">34.9%</w:t>
            </w:r>
          </w:p>
        </w:tc>
        <w:tc>
          <w:p>
            <w:pPr>
              <w:pStyle w:val="Compact"/>
              <w:jc w:val="left"/>
            </w:pPr>
            <w:r>
              <w:t xml:space="preserve">35.6%</w:t>
            </w:r>
          </w:p>
        </w:tc>
        <w:tc>
          <w:p>
            <w:pPr>
              <w:pStyle w:val="Compact"/>
              <w:jc w:val="left"/>
            </w:pPr>
            <w:r>
              <w:t xml:space="preserve">36.6%</w:t>
            </w:r>
          </w:p>
        </w:tc>
        <w:tc>
          <w:p>
            <w:pPr>
              <w:pStyle w:val="Compact"/>
              <w:jc w:val="left"/>
            </w:pPr>
            <w:r>
              <w:t xml:space="preserve">35.5%</w:t>
            </w:r>
          </w:p>
        </w:tc>
        <w:tc>
          <w:p>
            <w:pPr>
              <w:pStyle w:val="Compact"/>
              <w:jc w:val="left"/>
            </w:pPr>
            <w:r>
              <w:t xml:space="preserve">35.1%</w:t>
            </w:r>
          </w:p>
        </w:tc>
        <w:tc>
          <w:p>
            <w:pPr>
              <w:pStyle w:val="Compact"/>
              <w:jc w:val="left"/>
            </w:pPr>
            <w:r>
              <w:t xml:space="preserve">36.4%</w:t>
            </w:r>
          </w:p>
        </w:tc>
        <w:tc>
          <w:p>
            <w:pPr>
              <w:pStyle w:val="Compact"/>
              <w:jc w:val="left"/>
            </w:pPr>
            <w:r>
              <w:t xml:space="preserve">36.8%</w:t>
            </w:r>
          </w:p>
        </w:tc>
        <w:tc>
          <w:p>
            <w:pPr>
              <w:pStyle w:val="Compact"/>
              <w:jc w:val="left"/>
            </w:pPr>
            <w:r>
              <w:t xml:space="preserve">Range: 34.9-36.8%</w:t>
            </w:r>
          </w:p>
        </w:tc>
      </w:tr>
    </w:tbl>
    <w:p>
      <w:r>
        <w:pict>
          <v:rect style="width:0;height:1.5pt" o:hralign="center" o:hrstd="t" o:hr="t"/>
        </w:pict>
      </w:r>
    </w:p>
    <w:p>
      <w:pPr>
        <w:pStyle w:val="Heading3"/>
      </w:pPr>
      <w:bookmarkStart w:id="182" w:name="X5c83149ff0554e5c27c9a046d76a71fb185a339"/>
      <w:r>
        <w:t xml:space="preserve">Key SaaS Metrics (Where Disclosed or Estimable)</w:t>
      </w:r>
      <w:bookmarkEnd w:id="182"/>
    </w:p>
    <w:tbl>
      <w:tblPr>
        <w:tblStyle w:val="Table"/>
        <w:tblW w:type="pct" w:w="5000.0"/>
        <w:tblLook w:firstRow="1"/>
      </w:tblPr>
      <w:tblGrid>
        <w:gridCol w:w="1348"/>
        <w:gridCol w:w="1348"/>
        <w:gridCol w:w="1348"/>
        <w:gridCol w:w="1516"/>
        <w:gridCol w:w="1179"/>
        <w:gridCol w:w="1179"/>
      </w:tblGrid>
      <w:tr>
        <w:trPr>
          <w:cnfStyle w:firstRow="1"/>
        </w:trPr>
        <w:tc>
          <w:tcPr>
            <w:tcBorders>
              <w:bottom w:val="single"/>
            </w:tcBorders>
            <w:vAlign w:val="bottom"/>
          </w:tcPr>
          <w:p>
            <w:pPr>
              <w:pStyle w:val="Compact"/>
              <w:jc w:val="left"/>
            </w:pPr>
            <w:r>
              <w:t xml:space="preserve">Metric</w:t>
            </w:r>
          </w:p>
        </w:tc>
        <w:tc>
          <w:tcPr>
            <w:tcBorders>
              <w:bottom w:val="single"/>
            </w:tcBorders>
            <w:vAlign w:val="bottom"/>
          </w:tcPr>
          <w:p>
            <w:pPr>
              <w:pStyle w:val="Compact"/>
              <w:jc w:val="left"/>
            </w:pPr>
            <w:r>
              <w:t xml:space="preserve">FY2024</w:t>
            </w:r>
          </w:p>
        </w:tc>
        <w:tc>
          <w:tcPr>
            <w:tcBorders>
              <w:bottom w:val="single"/>
            </w:tcBorders>
            <w:vAlign w:val="bottom"/>
          </w:tcPr>
          <w:p>
            <w:pPr>
              <w:pStyle w:val="Compact"/>
              <w:jc w:val="left"/>
            </w:pPr>
            <w:r>
              <w:t xml:space="preserve">FY2025</w:t>
            </w:r>
          </w:p>
        </w:tc>
        <w:tc>
          <w:tcPr>
            <w:tcBorders>
              <w:bottom w:val="single"/>
            </w:tcBorders>
            <w:vAlign w:val="bottom"/>
          </w:tcPr>
          <w:p>
            <w:pPr>
              <w:pStyle w:val="Compact"/>
              <w:jc w:val="left"/>
            </w:pPr>
            <w:r>
              <w:t xml:space="preserve">Q4 2025</w:t>
            </w:r>
          </w:p>
        </w:tc>
        <w:tc>
          <w:tcPr>
            <w:tcBorders>
              <w:bottom w:val="single"/>
            </w:tcBorders>
            <w:vAlign w:val="bottom"/>
          </w:tcPr>
          <w:p>
            <w:pPr>
              <w:pStyle w:val="Compact"/>
              <w:jc w:val="left"/>
            </w:pPr>
            <w:r>
              <w:t xml:space="preserve">Trend</w:t>
            </w:r>
          </w:p>
        </w:tc>
        <w:tc>
          <w:tcPr>
            <w:tcBorders>
              <w:bottom w:val="single"/>
            </w:tcBorders>
            <w:vAlign w:val="bottom"/>
          </w:tcPr>
          <w:p>
            <w:pPr>
              <w:pStyle w:val="Compact"/>
              <w:jc w:val="left"/>
            </w:pPr>
            <w:r>
              <w:t xml:space="preserve">Notes</w:t>
            </w:r>
          </w:p>
        </w:tc>
      </w:tr>
      <w:tr>
        <w:tc>
          <w:p>
            <w:pPr>
              <w:pStyle w:val="Compact"/>
              <w:jc w:val="left"/>
            </w:pPr>
            <w:r>
              <w:rPr>
                <w:b/>
              </w:rPr>
              <w:t xml:space="preserve">RECURRING REVENUE</w:t>
            </w:r>
          </w:p>
        </w:tc>
        <w:tc>
          <w:p/>
        </w:tc>
        <w:tc>
          <w:p/>
        </w:tc>
        <w:tc>
          <w:p/>
        </w:tc>
        <w:tc>
          <w:p/>
        </w:tc>
        <w:tc>
          <w:p/>
        </w:tc>
      </w:tr>
      <w:tr>
        <w:tc>
          <w:p>
            <w:pPr>
              <w:pStyle w:val="Compact"/>
              <w:jc w:val="left"/>
            </w:pPr>
            <w:r>
              <w:t xml:space="preserve">Recurring + Reoccurring Revenue ($M)</w:t>
            </w:r>
          </w:p>
        </w:tc>
        <w:tc>
          <w:p>
            <w:pPr>
              <w:pStyle w:val="Compact"/>
              <w:jc w:val="left"/>
            </w:pPr>
            <w:r>
              <w:t xml:space="preserve">~$5,000</w:t>
            </w:r>
          </w:p>
        </w:tc>
        <w:tc>
          <w:p>
            <w:pPr>
              <w:pStyle w:val="Compact"/>
              <w:jc w:val="left"/>
            </w:pPr>
            <w:r>
              <w:t xml:space="preserve">$5,316</w:t>
            </w:r>
          </w:p>
        </w:tc>
        <w:tc>
          <w:p>
            <w:pPr>
              <w:pStyle w:val="Compact"/>
              <w:jc w:val="left"/>
            </w:pPr>
            <w:r>
              <w:t xml:space="preserve">~</w:t>
            </w:r>
            <m:oMath>
              <m:r>
                <m:t>1</m:t>
              </m:r>
              <m:r>
                <m:t>,</m:t>
              </m:r>
              <m:r>
                <m:t>350</m:t>
              </m:r>
              <m:r>
                <m:t>|</m:t>
              </m:r>
              <m:r>
                <m:t>+</m:t>
              </m:r>
              <m:r>
                <m:t>6.3</m:t>
              </m:r>
            </m:oMath>
            <w:r>
              <w:t xml:space="preserve">M)</w:t>
            </w:r>
          </w:p>
        </w:tc>
        <w:tc>
          <w:p>
            <w:pPr>
              <w:pStyle w:val="Compact"/>
              <w:jc w:val="left"/>
            </w:pPr>
            <w:r>
              <w:t xml:space="preserve">~$825</w:t>
            </w:r>
          </w:p>
        </w:tc>
        <w:tc>
          <w:p>
            <w:pPr>
              <w:pStyle w:val="Compact"/>
              <w:jc w:val="left"/>
            </w:pPr>
            <w:r>
              <w:t xml:space="preserve">$814</w:t>
            </w:r>
          </w:p>
        </w:tc>
      </w:tr>
      <w:tr>
        <w:tc>
          <w:p>
            <w:pPr>
              <w:pStyle w:val="Compact"/>
              <w:jc w:val="left"/>
            </w:pPr>
            <w:r>
              <w:t xml:space="preserve">Product Growth (Organic)</w:t>
            </w:r>
          </w:p>
        </w:tc>
        <w:tc>
          <w:p>
            <w:pPr>
              <w:pStyle w:val="Compact"/>
              <w:jc w:val="left"/>
            </w:pPr>
            <w:r>
              <w:t xml:space="preserve">~+6%</w:t>
            </w:r>
          </w:p>
        </w:tc>
        <w:tc>
          <w:p>
            <w:pPr>
              <w:pStyle w:val="Compact"/>
              <w:jc w:val="left"/>
            </w:pPr>
            <w:r>
              <w:t xml:space="preserve">+6%</w:t>
            </w:r>
          </w:p>
        </w:tc>
        <w:tc>
          <w:p>
            <w:pPr>
              <w:pStyle w:val="Compact"/>
              <w:jc w:val="left"/>
            </w:pPr>
            <w:r>
              <w:t xml:space="preserve">~+6%</w:t>
            </w:r>
          </w:p>
        </w:tc>
        <w:tc>
          <w:p>
            <w:pPr>
              <w:pStyle w:val="Compact"/>
              <w:jc w:val="left"/>
            </w:pPr>
            <w:r>
              <w:t xml:space="preserve">Stable</w:t>
            </w:r>
          </w:p>
        </w:tc>
        <w:tc>
          <w:p>
            <w:pPr>
              <w:pStyle w:val="Compact"/>
              <w:jc w:val="left"/>
            </w:pPr>
            <w:r>
              <w:t xml:space="preserve">Consistent with hardware cycle</w:t>
            </w:r>
          </w:p>
        </w:tc>
      </w:tr>
    </w:tbl>
    <w:p>
      <w:r>
        <w:pict>
          <v:rect style="width:0;height:1.5pt" o:hralign="center" o:hrstd="t" o:hr="t"/>
        </w:pict>
      </w:r>
    </w:p>
    <w:p>
      <w:pPr>
        <w:pStyle w:val="Heading3"/>
      </w:pPr>
      <w:bookmarkStart w:id="183" w:name="cash-flow-capex-metrics"/>
      <w:r>
        <w:t xml:space="preserve">Cash Flow &amp; Capex Metrics</w:t>
      </w:r>
      <w:bookmarkEnd w:id="183"/>
    </w:p>
    <w:tbl>
      <w:tblPr>
        <w:tblStyle w:val="Table"/>
        <w:tblW w:type="pct" w:w="5000.0"/>
        <w:tblLook w:firstRow="1"/>
      </w:tblPr>
      <w:tblGrid>
        <w:gridCol w:w="2112"/>
        <w:gridCol w:w="2112"/>
        <w:gridCol w:w="2112"/>
        <w:gridCol w:w="792"/>
        <w:gridCol w:w="792"/>
      </w:tblGrid>
      <w:tr>
        <w:trPr>
          <w:cnfStyle w:firstRow="1"/>
        </w:trPr>
        <w:tc>
          <w:tcPr>
            <w:tcBorders>
              <w:bottom w:val="single"/>
            </w:tcBorders>
            <w:vAlign w:val="bottom"/>
          </w:tcPr>
          <w:p>
            <w:pPr>
              <w:pStyle w:val="Compact"/>
              <w:jc w:val="left"/>
            </w:pPr>
            <w:r>
              <w:t xml:space="preserve">Metric</w:t>
            </w:r>
          </w:p>
        </w:tc>
        <w:tc>
          <w:tcPr>
            <w:tcBorders>
              <w:bottom w:val="single"/>
            </w:tcBorders>
            <w:vAlign w:val="bottom"/>
          </w:tcPr>
          <w:p>
            <w:pPr>
              <w:pStyle w:val="Compact"/>
              <w:jc w:val="left"/>
            </w:pPr>
            <w:r>
              <w:t xml:space="preserve">FY2024</w:t>
            </w:r>
          </w:p>
        </w:tc>
        <w:tc>
          <w:tcPr>
            <w:tcBorders>
              <w:bottom w:val="single"/>
            </w:tcBorders>
            <w:vAlign w:val="bottom"/>
          </w:tcPr>
          <w:p>
            <w:pPr>
              <w:pStyle w:val="Compact"/>
              <w:jc w:val="left"/>
            </w:pPr>
            <w:r>
              <w:t xml:space="preserve">FY2025</w:t>
            </w:r>
          </w:p>
        </w:tc>
        <w:tc>
          <w:tcPr>
            <w:tcBorders>
              <w:bottom w:val="single"/>
            </w:tcBorders>
            <w:vAlign w:val="bottom"/>
          </w:tcPr>
          <w:p>
            <w:pPr>
              <w:pStyle w:val="Compact"/>
              <w:jc w:val="left"/>
            </w:pPr>
            <w:r>
              <w:t xml:space="preserve">Q4 2025 (est.)</w:t>
            </w:r>
          </w:p>
        </w:tc>
        <w:tc>
          <w:tcPr>
            <w:tcBorders>
              <w:bottom w:val="single"/>
            </w:tcBorders>
            <w:vAlign w:val="bottom"/>
          </w:tcPr>
          <w:p>
            <w:pPr>
              <w:pStyle w:val="Compact"/>
              <w:jc w:val="left"/>
            </w:pPr>
            <w:r>
              <w:t xml:space="preserve">Trend</w:t>
            </w:r>
          </w:p>
        </w:tc>
      </w:tr>
      <w:tr>
        <w:tc>
          <w:p>
            <w:pPr>
              <w:pStyle w:val="Compact"/>
              <w:jc w:val="left"/>
            </w:pPr>
            <w:r>
              <w:t xml:space="preserve">Operating Cash Flow ($M)</w:t>
            </w:r>
          </w:p>
        </w:tc>
        <w:tc>
          <w:p>
            <w:pPr>
              <w:pStyle w:val="Compact"/>
              <w:jc w:val="left"/>
            </w:pPr>
            <w:r>
              <w:t xml:space="preserve">~$2,150</w:t>
            </w:r>
          </w:p>
        </w:tc>
        <w:tc>
          <w:p>
            <w:pPr>
              <w:pStyle w:val="Compact"/>
              <w:jc w:val="left"/>
            </w:pPr>
            <w:r>
              <w:t xml:space="preserve">~$2,420</w:t>
            </w:r>
          </w:p>
        </w:tc>
        <w:tc>
          <w:p>
            <w:pPr>
              <w:pStyle w:val="Compact"/>
              <w:jc w:val="left"/>
            </w:pPr>
            <w:r>
              <w:t xml:space="preserve">~</w:t>
            </w:r>
            <m:oMath>
              <m:r>
                <m:t>640</m:t>
              </m:r>
              <m:r>
                <m:t>|</m:t>
              </m:r>
              <m:r>
                <m:t>+</m:t>
              </m:r>
              <m:r>
                <m:t>12.5</m:t>
              </m:r>
            </m:oMath>
            <w:r>
              <w:t xml:space="preserve">M)</w:t>
            </w:r>
          </w:p>
        </w:tc>
        <w:tc>
          <w:p>
            <w:pPr>
              <w:pStyle w:val="Compact"/>
              <w:jc w:val="left"/>
            </w:pPr>
            <w:r>
              <w:t xml:space="preserve">~$185</w:t>
            </w:r>
          </w:p>
        </w:tc>
      </w:tr>
      <w:tr>
        <w:tc>
          <w:p>
            <w:pPr>
              <w:pStyle w:val="Compact"/>
              <w:jc w:val="left"/>
            </w:pPr>
            <w:r>
              <w:t xml:space="preserve">Capex as % of Revenue</w:t>
            </w:r>
          </w:p>
        </w:tc>
        <w:tc>
          <w:p>
            <w:pPr>
              <w:pStyle w:val="Compact"/>
              <w:jc w:val="left"/>
            </w:pPr>
            <w:r>
              <w:t xml:space="preserve">2.6%</w:t>
            </w:r>
          </w:p>
        </w:tc>
        <w:tc>
          <w:p>
            <w:pPr>
              <w:pStyle w:val="Compact"/>
              <w:jc w:val="left"/>
            </w:pPr>
            <w:r>
              <w:t xml:space="preserve">2.5%</w:t>
            </w:r>
          </w:p>
        </w:tc>
        <w:tc>
          <w:p>
            <w:pPr>
              <w:pStyle w:val="Compact"/>
              <w:jc w:val="left"/>
            </w:pPr>
            <w:r>
              <w:t xml:space="preserve">2.3%</w:t>
            </w:r>
          </w:p>
        </w:tc>
        <w:tc>
          <w:p>
            <w:pPr>
              <w:pStyle w:val="Compact"/>
              <w:jc w:val="left"/>
            </w:pPr>
            <w:r>
              <w:t xml:space="preserve">Declining (software business)</w:t>
            </w:r>
          </w:p>
        </w:tc>
      </w:tr>
      <w:tr>
        <w:tc>
          <w:p>
            <w:pPr>
              <w:pStyle w:val="Compact"/>
              <w:jc w:val="left"/>
            </w:pPr>
            <w:r>
              <w:rPr>
                <w:b/>
              </w:rPr>
              <w:t xml:space="preserve">Estimated Quarterly Capex Run Rate</w:t>
            </w:r>
          </w:p>
        </w:tc>
        <w:tc>
          <w:p/>
        </w:tc>
        <w:tc>
          <w:p/>
        </w:tc>
        <w:tc>
          <w:p/>
        </w:tc>
        <w:tc>
          <w:p/>
        </w:tc>
      </w:tr>
      <w:tr>
        <w:tc>
          <w:p>
            <w:pPr>
              <w:pStyle w:val="Compact"/>
              <w:jc w:val="left"/>
            </w:pPr>
            <w:r>
              <w:t xml:space="preserve">Q1 2025 (est.)</w:t>
            </w:r>
          </w:p>
        </w:tc>
        <w:tc>
          <w:p/>
        </w:tc>
        <w:tc>
          <w:p>
            <w:pPr>
              <w:pStyle w:val="Compact"/>
              <w:jc w:val="left"/>
            </w:pPr>
            <w:r>
              <w:t xml:space="preserve">~$45</w:t>
            </w:r>
          </w:p>
        </w:tc>
        <w:tc>
          <w:p/>
        </w:tc>
        <w:tc>
          <w:p>
            <w:pPr>
              <w:pStyle w:val="Compact"/>
              <w:jc w:val="left"/>
            </w:pPr>
            <w:r>
              <w:t xml:space="preserve">Software-light capex</w:t>
            </w:r>
          </w:p>
        </w:tc>
      </w:tr>
      <w:tr>
        <w:tc>
          <w:p>
            <w:pPr>
              <w:pStyle w:val="Compact"/>
              <w:jc w:val="left"/>
            </w:pPr>
            <w:r>
              <w:t xml:space="preserve">Q2 2025 (est.)</w:t>
            </w:r>
          </w:p>
        </w:tc>
        <w:tc>
          <w:p/>
        </w:tc>
        <w:tc>
          <w:p>
            <w:pPr>
              <w:pStyle w:val="Compact"/>
              <w:jc w:val="left"/>
            </w:pPr>
            <w:r>
              <w:t xml:space="preserve">~$50</w:t>
            </w:r>
          </w:p>
        </w:tc>
        <w:tc>
          <w:p/>
        </w:tc>
        <w:tc>
          <w:p/>
        </w:tc>
      </w:tr>
      <w:tr>
        <w:tc>
          <w:p>
            <w:pPr>
              <w:pStyle w:val="Compact"/>
              <w:jc w:val="left"/>
            </w:pPr>
            <w:r>
              <w:t xml:space="preserve">Q3 2025 (est.)</w:t>
            </w:r>
          </w:p>
        </w:tc>
        <w:tc>
          <w:p/>
        </w:tc>
        <w:tc>
          <w:p>
            <w:pPr>
              <w:pStyle w:val="Compact"/>
              <w:jc w:val="left"/>
            </w:pPr>
            <w:r>
              <w:t xml:space="preserve">~$55</w:t>
            </w:r>
          </w:p>
        </w:tc>
        <w:tc>
          <w:p/>
        </w:tc>
        <w:tc>
          <w:p/>
        </w:tc>
      </w:tr>
      <w:tr>
        <w:tc>
          <w:p>
            <w:pPr>
              <w:pStyle w:val="Compact"/>
              <w:jc w:val="left"/>
            </w:pPr>
            <w:r>
              <w:t xml:space="preserve">Q4 2025 (est.)</w:t>
            </w:r>
          </w:p>
        </w:tc>
        <w:tc>
          <w:p/>
        </w:tc>
        <w:tc>
          <w:p>
            <w:pPr>
              <w:pStyle w:val="Compact"/>
              <w:jc w:val="left"/>
            </w:pPr>
            <w:r>
              <w:t xml:space="preserve">~$46</w:t>
            </w:r>
          </w:p>
        </w:tc>
        <w:tc>
          <w:p/>
        </w:tc>
        <w:tc>
          <w:p>
            <w:pPr>
              <w:pStyle w:val="Compact"/>
              <w:jc w:val="left"/>
            </w:pPr>
            <w:r>
              <w:t xml:space="preserve">Lower capex = higher margin</w:t>
            </w:r>
          </w:p>
        </w:tc>
      </w:tr>
    </w:tbl>
    <w:p>
      <w:r>
        <w:pict>
          <v:rect style="width:0;height:1.5pt" o:hralign="center" o:hrstd="t" o:hr="t"/>
        </w:pict>
      </w:r>
    </w:p>
    <w:p>
      <w:pPr>
        <w:pStyle w:val="Heading3"/>
      </w:pPr>
      <w:bookmarkStart w:id="184" w:name="balance-sheet-leverage-metrics"/>
      <w:r>
        <w:t xml:space="preserve">Balance Sheet &amp; Leverage Metrics</w:t>
      </w:r>
      <w:bookmarkEnd w:id="184"/>
    </w:p>
    <w:tbl>
      <w:tblPr>
        <w:tblStyle w:val="Table"/>
        <w:tblW w:type="pct" w:w="5000.0"/>
        <w:tblLook w:firstRow="1"/>
      </w:tblPr>
      <w:tblGrid>
        <w:gridCol w:w="2043"/>
        <w:gridCol w:w="2043"/>
        <w:gridCol w:w="2043"/>
        <w:gridCol w:w="1788"/>
      </w:tblGrid>
      <w:tr>
        <w:trPr>
          <w:cnfStyle w:firstRow="1"/>
        </w:trPr>
        <w:tc>
          <w:tcPr>
            <w:tcBorders>
              <w:bottom w:val="single"/>
            </w:tcBorders>
            <w:vAlign w:val="bottom"/>
          </w:tcPr>
          <w:p>
            <w:pPr>
              <w:pStyle w:val="Compact"/>
              <w:jc w:val="left"/>
            </w:pPr>
            <w:r>
              <w:t xml:space="preserve">Metric</w:t>
            </w:r>
          </w:p>
        </w:tc>
        <w:tc>
          <w:tcPr>
            <w:tcBorders>
              <w:bottom w:val="single"/>
            </w:tcBorders>
            <w:vAlign w:val="bottom"/>
          </w:tcPr>
          <w:p>
            <w:pPr>
              <w:pStyle w:val="Compact"/>
              <w:jc w:val="left"/>
            </w:pPr>
            <w:r>
              <w:t xml:space="preserve">FY2024</w:t>
            </w:r>
          </w:p>
        </w:tc>
        <w:tc>
          <w:tcPr>
            <w:tcBorders>
              <w:bottom w:val="single"/>
            </w:tcBorders>
            <w:vAlign w:val="bottom"/>
          </w:tcPr>
          <w:p>
            <w:pPr>
              <w:pStyle w:val="Compact"/>
              <w:jc w:val="left"/>
            </w:pPr>
            <w:r>
              <w:t xml:space="preserve">FY2025</w:t>
            </w:r>
          </w:p>
        </w:tc>
        <w:tc>
          <w:tcPr>
            <w:tcBorders>
              <w:bottom w:val="single"/>
            </w:tcBorders>
            <w:vAlign w:val="bottom"/>
          </w:tcPr>
          <w:p>
            <w:pPr>
              <w:pStyle w:val="Compact"/>
              <w:jc w:val="left"/>
            </w:pPr>
            <w:r>
              <w:t xml:space="preserve">Trend</w:t>
            </w:r>
          </w:p>
        </w:tc>
      </w:tr>
      <w:tr>
        <w:tc>
          <w:p>
            <w:pPr>
              <w:pStyle w:val="Compact"/>
              <w:jc w:val="left"/>
            </w:pPr>
            <w:r>
              <w:rPr>
                <w:b/>
              </w:rPr>
              <w:t xml:space="preserve">DEBT &amp; LIQUIDITY</w:t>
            </w:r>
          </w:p>
        </w:tc>
        <w:tc>
          <w:p/>
        </w:tc>
        <w:tc>
          <w:p/>
        </w:tc>
        <w:tc>
          <w:p/>
        </w:tc>
      </w:tr>
      <w:tr>
        <w:tc>
          <w:p>
            <w:pPr>
              <w:pStyle w:val="Compact"/>
              <w:jc w:val="left"/>
            </w:pPr>
            <w:r>
              <w:t xml:space="preserve">Cash &amp; Equivalents ($M)</w:t>
            </w:r>
          </w:p>
        </w:tc>
        <w:tc>
          <w:p>
            <w:pPr>
              <w:pStyle w:val="Compact"/>
              <w:jc w:val="left"/>
            </w:pPr>
            <w:r>
              <w:t xml:space="preserve">~$280</w:t>
            </w:r>
          </w:p>
        </w:tc>
        <w:tc>
          <w:p>
            <w:pPr>
              <w:pStyle w:val="Compact"/>
              <w:jc w:val="left"/>
            </w:pPr>
            <m:oMath>
              <m:r>
                <m:t>297</m:t>
              </m:r>
              <m:r>
                <m:t>|</m:t>
              </m:r>
              <m:r>
                <m:t>F</m:t>
              </m:r>
              <m:r>
                <m:t>l</m:t>
              </m:r>
              <m:r>
                <m:t>a</m:t>
              </m:r>
              <m:r>
                <m:t>t</m:t>
              </m:r>
              <m:r>
                <m:t>|</m:t>
              </m:r>
              <m:r>
                <m:t>|</m:t>
              </m:r>
              <m:r>
                <m:t>T</m:t>
              </m:r>
              <m:r>
                <m:t>o</m:t>
              </m:r>
              <m:r>
                <m:t>t</m:t>
              </m:r>
              <m:r>
                <m:t>a</m:t>
              </m:r>
              <m:r>
                <m:t>l</m:t>
              </m:r>
              <m:r>
                <m:t>D</m:t>
              </m:r>
              <m:r>
                <m:t>e</m:t>
              </m:r>
              <m:r>
                <m:t>b</m:t>
              </m:r>
              <m:r>
                <m:t>t</m:t>
              </m:r>
              <m:r>
                <m:t>(</m:t>
              </m:r>
            </m:oMath>
            <w:r>
              <w:t xml:space="preserve">M)</w:t>
            </w:r>
          </w:p>
        </w:tc>
        <w:tc>
          <w:p>
            <w:pPr>
              <w:pStyle w:val="Compact"/>
              <w:jc w:val="left"/>
            </w:pPr>
            <w:r>
              <w:t xml:space="preserve">~$9,900</w:t>
            </w:r>
          </w:p>
        </w:tc>
      </w:tr>
      <w:tr>
        <w:tc>
          <w:p>
            <w:pPr>
              <w:pStyle w:val="Compact"/>
              <w:jc w:val="left"/>
            </w:pPr>
            <w:r>
              <w:t xml:space="preserve">Interest Coverage (EBITDA/Interest)</w:t>
            </w:r>
          </w:p>
        </w:tc>
        <w:tc>
          <w:p>
            <w:pPr>
              <w:pStyle w:val="Compact"/>
              <w:jc w:val="left"/>
            </w:pPr>
            <w:r>
              <w:t xml:space="preserve">8.9x</w:t>
            </w:r>
          </w:p>
        </w:tc>
        <w:tc>
          <w:p>
            <w:pPr>
              <w:pStyle w:val="Compact"/>
              <w:jc w:val="left"/>
            </w:pPr>
            <w:r>
              <w:t xml:space="preserve">9.7x</w:t>
            </w:r>
          </w:p>
        </w:tc>
        <w:tc>
          <w:p>
            <w:pPr>
              <w:pStyle w:val="Compact"/>
              <w:jc w:val="left"/>
            </w:pPr>
            <w:r>
              <w:t xml:space="preserve">Improving</w:t>
            </w:r>
          </w:p>
        </w:tc>
      </w:tr>
      <w:tr>
        <w:tc>
          <w:p>
            <w:pPr>
              <w:pStyle w:val="Compact"/>
              <w:jc w:val="left"/>
            </w:pPr>
            <w:r>
              <w:t xml:space="preserve">Debt Maturity (&lt; 1 year)</w:t>
            </w:r>
          </w:p>
        </w:tc>
        <w:tc>
          <w:p>
            <w:pPr>
              <w:pStyle w:val="Compact"/>
              <w:jc w:val="left"/>
            </w:pPr>
            <w:r>
              <w:t xml:space="preserve">~$705</w:t>
            </w:r>
          </w:p>
        </w:tc>
        <w:tc>
          <w:p>
            <w:pPr>
              <w:pStyle w:val="Compact"/>
              <w:jc w:val="left"/>
            </w:pPr>
            <w:r>
              <w:t xml:space="preserve">$705 | Stable | | **EQUITY &amp; VALUATION** | | | | | Total Shareholders' Equity ($</w:t>
            </w:r>
            <w:r>
              <w:t xml:space="preserve">M)</w:t>
            </w:r>
          </w:p>
        </w:tc>
        <w:tc>
          <w:p>
            <w:pPr>
              <w:pStyle w:val="Compact"/>
              <w:jc w:val="left"/>
            </w:pPr>
            <w:r>
              <w:t xml:space="preserve">~$19,000</w:t>
            </w:r>
          </w:p>
        </w:tc>
      </w:tr>
      <w:tr>
        <w:tc>
          <w:p>
            <w:pPr>
              <w:pStyle w:val="Compact"/>
              <w:jc w:val="left"/>
            </w:pPr>
            <w:r>
              <w:t xml:space="preserve">Book Value per Share</w:t>
            </w:r>
          </w:p>
        </w:tc>
        <w:tc>
          <w:p>
            <w:pPr>
              <w:pStyle w:val="Compact"/>
              <w:jc w:val="left"/>
            </w:pPr>
            <w:r>
              <w:t xml:space="preserve">~$152</w:t>
            </w:r>
          </w:p>
        </w:tc>
        <w:tc>
          <w:p>
            <w:pPr>
              <w:pStyle w:val="Compact"/>
              <w:jc w:val="left"/>
            </w:pPr>
            <w:r>
              <w:t xml:space="preserve">$159</w:t>
            </w:r>
          </w:p>
        </w:tc>
        <w:tc>
          <w:p>
            <w:pPr>
              <w:pStyle w:val="Compact"/>
              <w:jc w:val="left"/>
            </w:pPr>
            <w:r>
              <w:t xml:space="preserve">+4.6%</w:t>
            </w:r>
          </w:p>
        </w:tc>
      </w:tr>
      <w:tr>
        <w:tc>
          <w:p>
            <w:pPr>
              <w:pStyle w:val="Compact"/>
              <w:jc w:val="left"/>
            </w:pPr>
            <w:r>
              <w:t xml:space="preserve">Tangible Book Value per Share</w:t>
            </w:r>
          </w:p>
        </w:tc>
        <w:tc>
          <w:p>
            <w:pPr>
              <w:pStyle w:val="Compact"/>
              <w:jc w:val="left"/>
            </w:pPr>
            <w:r>
              <w:t xml:space="preserve">~$24</w:t>
            </w:r>
          </w:p>
        </w:tc>
        <w:tc>
          <w:p>
            <w:pPr>
              <w:pStyle w:val="Compact"/>
              <w:jc w:val="left"/>
            </w:pPr>
            <w:r>
              <w:t xml:space="preserve">$32</w:t>
            </w:r>
          </w:p>
        </w:tc>
        <w:tc>
          <w:p>
            <w:pPr>
              <w:pStyle w:val="Compact"/>
              <w:jc w:val="left"/>
            </w:pPr>
            <w:r>
              <w:t xml:space="preserve">(after $21.3B goodwill [10-K])</w:t>
            </w:r>
          </w:p>
        </w:tc>
      </w:tr>
      <w:tr>
        <w:tc>
          <w:p>
            <w:pPr>
              <w:pStyle w:val="Compact"/>
              <w:jc w:val="left"/>
            </w:pPr>
            <w:r>
              <w:t xml:space="preserve">P/B Ratio (at $400/share assumed)</w:t>
            </w:r>
          </w:p>
        </w:tc>
        <w:tc>
          <w:p>
            <w:pPr>
              <w:pStyle w:val="Compact"/>
              <w:jc w:val="left"/>
            </w:pPr>
            <w:r>
              <w:t xml:space="preserve">2.63x</w:t>
            </w:r>
          </w:p>
        </w:tc>
        <w:tc>
          <w:p>
            <w:pPr>
              <w:pStyle w:val="Compact"/>
              <w:jc w:val="left"/>
            </w:pPr>
            <w:r>
              <w:t xml:space="preserve">2.52x</w:t>
            </w:r>
          </w:p>
        </w:tc>
        <w:tc>
          <w:p>
            <w:pPr>
              <w:pStyle w:val="Compact"/>
              <w:jc w:val="left"/>
            </w:pPr>
            <w:r>
              <w:t xml:space="preserve">Multiple compression</w:t>
            </w:r>
          </w:p>
        </w:tc>
      </w:tr>
      <w:tr>
        <w:tc>
          <w:p>
            <w:pPr>
              <w:pStyle w:val="Compact"/>
              <w:jc w:val="left"/>
            </w:pPr>
            <w:r>
              <w:t xml:space="preserve">ROE</w:t>
            </w:r>
          </w:p>
        </w:tc>
        <w:tc>
          <w:p>
            <w:pPr>
              <w:pStyle w:val="Compact"/>
              <w:jc w:val="left"/>
            </w:pPr>
            <w:r>
              <w:t xml:space="preserve">8.2%</w:t>
            </w:r>
          </w:p>
        </w:tc>
        <w:tc>
          <w:p>
            <w:pPr>
              <w:pStyle w:val="Compact"/>
              <w:jc w:val="left"/>
            </w:pPr>
            <w:r>
              <w:t xml:space="preserve">7.7%</w:t>
            </w:r>
          </w:p>
        </w:tc>
        <w:tc>
          <w:p>
            <w:pPr>
              <w:pStyle w:val="Compact"/>
              <w:jc w:val="left"/>
            </w:pPr>
            <w:r>
              <w:t xml:space="preserve">Declining (higher equity base)</w:t>
            </w:r>
          </w:p>
        </w:tc>
      </w:tr>
    </w:tbl>
    <w:p>
      <w:r>
        <w:pict>
          <v:rect style="width:0;height:1.5pt" o:hralign="center" o:hrstd="t" o:hr="t"/>
        </w:pict>
      </w:r>
    </w:p>
    <w:p>
      <w:pPr>
        <w:pStyle w:val="Heading3"/>
      </w:pPr>
      <w:bookmarkStart w:id="185" w:name="ma-capital-deployment"/>
      <w:r>
        <w:t xml:space="preserve">M&amp;A &amp; Capital Deployment</w:t>
      </w:r>
      <w:bookmarkEnd w:id="185"/>
    </w:p>
    <w:tbl>
      <w:tblPr>
        <w:tblStyle w:val="Table"/>
        <w:tblW w:type="pct" w:w="5000.0"/>
        <w:tblLook w:firstRow="1"/>
      </w:tblPr>
      <w:tblGrid>
        <w:gridCol w:w="2262"/>
        <w:gridCol w:w="1810"/>
        <w:gridCol w:w="1810"/>
        <w:gridCol w:w="678"/>
        <w:gridCol w:w="678"/>
        <w:gridCol w:w="678"/>
      </w:tblGrid>
      <w:tr>
        <w:trPr>
          <w:cnfStyle w:firstRow="1"/>
        </w:trPr>
        <w:tc>
          <w:tcPr>
            <w:tcBorders>
              <w:bottom w:val="single"/>
            </w:tcBorders>
            <w:vAlign w:val="bottom"/>
          </w:tcPr>
          <w:p>
            <w:pPr>
              <w:pStyle w:val="Compact"/>
              <w:jc w:val="left"/>
            </w:pPr>
            <w:r>
              <w:t xml:space="preserve">Category</w:t>
            </w:r>
          </w:p>
        </w:tc>
        <w:tc>
          <w:tcPr>
            <w:tcBorders>
              <w:bottom w:val="single"/>
            </w:tcBorders>
            <w:vAlign w:val="bottom"/>
          </w:tcPr>
          <w:p>
            <w:pPr>
              <w:pStyle w:val="Compact"/>
              <w:jc w:val="left"/>
            </w:pPr>
            <w:r>
              <w:t xml:space="preserve">FY2024</w:t>
            </w:r>
          </w:p>
        </w:tc>
        <w:tc>
          <w:tcPr>
            <w:tcBorders>
              <w:bottom w:val="single"/>
            </w:tcBorders>
            <w:vAlign w:val="bottom"/>
          </w:tcPr>
          <w:p>
            <w:pPr>
              <w:pStyle w:val="Compact"/>
              <w:jc w:val="left"/>
            </w:pPr>
            <w:r>
              <w:t xml:space="preserve">FY2025</w:t>
            </w:r>
          </w:p>
        </w:tc>
        <w:tc>
          <w:tcPr>
            <w:tcBorders>
              <w:bottom w:val="single"/>
            </w:tcBorders>
            <w:vAlign w:val="bottom"/>
          </w:tcPr>
          <w:p>
            <w:pPr>
              <w:pStyle w:val="Compact"/>
              <w:jc w:val="left"/>
            </w:pPr>
            <w:r>
              <w:t xml:space="preserve">Q4 2025 (est.)</w:t>
            </w:r>
          </w:p>
        </w:tc>
        <w:tc>
          <w:tcPr>
            <w:tcBorders>
              <w:bottom w:val="single"/>
            </w:tcBorders>
            <w:vAlign w:val="bottom"/>
          </w:tcPr>
          <w:p>
            <w:pPr>
              <w:pStyle w:val="Compact"/>
              <w:jc w:val="left"/>
            </w:pPr>
            <w:r>
              <w:t xml:space="preserve">3-Year Cumulative</w:t>
            </w:r>
          </w:p>
        </w:tc>
        <w:tc>
          <w:tcPr>
            <w:tcBorders>
              <w:bottom w:val="single"/>
            </w:tcBorders>
            <w:vAlign w:val="bottom"/>
          </w:tcPr>
          <w:p>
            <w:pPr>
              <w:pStyle w:val="Compact"/>
              <w:jc w:val="left"/>
            </w:pPr>
            <w:r>
              <w:t xml:space="preserve">Notes</w:t>
            </w:r>
          </w:p>
        </w:tc>
      </w:tr>
      <w:tr>
        <w:tc>
          <w:p>
            <w:pPr>
              <w:pStyle w:val="Compact"/>
              <w:jc w:val="left"/>
            </w:pPr>
            <w:r>
              <w:rPr>
                <w:b/>
              </w:rPr>
              <w:t xml:space="preserve">ACQUISITION SPEND</w:t>
            </w:r>
          </w:p>
        </w:tc>
        <w:tc>
          <w:p/>
        </w:tc>
        <w:tc>
          <w:p/>
        </w:tc>
        <w:tc>
          <w:p/>
        </w:tc>
        <w:tc>
          <w:p/>
        </w:tc>
        <w:tc>
          <w:p/>
        </w:tc>
      </w:tr>
      <w:tr>
        <w:tc>
          <w:p>
            <w:pPr>
              <w:pStyle w:val="Compact"/>
              <w:jc w:val="left"/>
            </w:pPr>
            <w:r>
              <w:t xml:space="preserve">Total M&amp;A Spend ($M)</w:t>
            </w:r>
          </w:p>
        </w:tc>
        <w:tc>
          <w:p>
            <w:pPr>
              <w:pStyle w:val="Compact"/>
              <w:jc w:val="left"/>
            </w:pPr>
            <w:r>
              <w:t xml:space="preserve">~$2,800</w:t>
            </w:r>
          </w:p>
        </w:tc>
        <w:tc>
          <w:p>
            <w:pPr>
              <w:pStyle w:val="Compact"/>
              <w:jc w:val="left"/>
            </w:pPr>
            <w:r>
              <w:t xml:space="preserve">~$3,100</w:t>
            </w:r>
          </w:p>
        </w:tc>
        <w:tc>
          <w:p>
            <w:pPr>
              <w:pStyle w:val="Compact"/>
              <w:jc w:val="left"/>
            </w:pPr>
            <w:r>
              <w:t xml:space="preserve">~$750</w:t>
            </w:r>
          </w:p>
        </w:tc>
        <w:tc>
          <w:p>
            <w:pPr>
              <w:pStyle w:val="Compact"/>
              <w:jc w:val="left"/>
            </w:pPr>
            <w:r>
              <w:t xml:space="preserve">~</w:t>
            </w:r>
            <m:oMath>
              <m:r>
                <m:t>8</m:t>
              </m:r>
              <m:r>
                <m:t>,</m:t>
              </m:r>
              <m:r>
                <m:t>960</m:t>
              </m:r>
              <m:r>
                <m:t>|</m:t>
              </m:r>
              <m:r>
                <m:t>[</m:t>
              </m:r>
              <m:r>
                <m:t>C</m:t>
              </m:r>
              <m:r>
                <m:t>a</m:t>
              </m:r>
              <m:r>
                <m:t>p</m:t>
              </m:r>
              <m:r>
                <m:t>i</m:t>
              </m:r>
              <m:r>
                <m:t>t</m:t>
              </m:r>
              <m:r>
                <m:t>a</m:t>
              </m:r>
              <m:r>
                <m:t>l</m:t>
              </m:r>
              <m:r>
                <m:t>D</m:t>
              </m:r>
              <m:r>
                <m:t>e</m:t>
              </m:r>
              <m:r>
                <m:t>p</m:t>
              </m:r>
              <m:r>
                <m:t>l</m:t>
              </m:r>
              <m:r>
                <m:t>o</m:t>
              </m:r>
              <m:r>
                <m:t>y</m:t>
              </m:r>
              <m:r>
                <m:t>m</m:t>
              </m:r>
              <m:r>
                <m:t>e</m:t>
              </m:r>
              <m:r>
                <m:t>n</m:t>
              </m:r>
              <m:r>
                <m:t>t</m:t>
              </m:r>
              <m:r>
                <m:t>]</m:t>
              </m:r>
              <m:r>
                <m:t>|</m:t>
              </m:r>
              <m:r>
                <m:t>|</m:t>
              </m:r>
              <m:r>
                <m:t>N</m:t>
              </m:r>
              <m:r>
                <m:t>u</m:t>
              </m:r>
              <m:r>
                <m:t>m</m:t>
              </m:r>
              <m:r>
                <m:t>b</m:t>
              </m:r>
              <m:r>
                <m:t>e</m:t>
              </m:r>
              <m:r>
                <m:t>r</m:t>
              </m:r>
              <m:r>
                <m:t>o</m:t>
              </m:r>
              <m:r>
                <m:t>f</m:t>
              </m:r>
              <m:r>
                <m:t>A</m:t>
              </m:r>
              <m:r>
                <m:t>c</m:t>
              </m:r>
              <m:r>
                <m:t>q</m:t>
              </m:r>
              <m:r>
                <m:t>u</m:t>
              </m:r>
              <m:r>
                <m:t>i</m:t>
              </m:r>
              <m:r>
                <m:t>s</m:t>
              </m:r>
              <m:r>
                <m:t>i</m:t>
              </m:r>
              <m:r>
                <m:t>t</m:t>
              </m:r>
              <m:r>
                <m:t>i</m:t>
              </m:r>
              <m:r>
                <m:t>o</m:t>
              </m:r>
              <m:r>
                <m:t>n</m:t>
              </m:r>
              <m:r>
                <m:t>s</m:t>
              </m:r>
              <m:r>
                <m:t>|</m:t>
              </m:r>
              <m:r>
                <m:t> </m:t>
              </m:r>
              <m:r>
                <m:t>15</m:t>
              </m:r>
              <m:r>
                <m:t>|</m:t>
              </m:r>
              <m:r>
                <m:t> </m:t>
              </m:r>
              <m:r>
                <m:t>18</m:t>
              </m:r>
              <m:r>
                <m:t>|</m:t>
              </m:r>
              <m:r>
                <m:t> </m:t>
              </m:r>
              <m:r>
                <m:t>4</m:t>
              </m:r>
              <m:r>
                <m:t>|</m:t>
              </m:r>
              <m:r>
                <m:t> </m:t>
              </m:r>
              <m:r>
                <m:t>50</m:t>
              </m:r>
              <m:r>
                <m:t>+</m:t>
              </m:r>
              <m:r>
                <m:t>|</m:t>
              </m:r>
              <m:r>
                <m:t>R</m:t>
              </m:r>
              <m:r>
                <m:t>o</m:t>
              </m:r>
              <m:r>
                <m:t>p</m:t>
              </m:r>
              <m:r>
                <m:t>e</m:t>
              </m:r>
              <m:r>
                <m:t>r</m:t>
              </m:r>
              <m:r>
                <m:t>′</m:t>
              </m:r>
              <m:r>
                <m:t>s</m:t>
              </m:r>
              <m:r>
                <m:t>a</m:t>
              </m:r>
              <m:r>
                <m:t>c</m:t>
              </m:r>
              <m:r>
                <m:t>q</m:t>
              </m:r>
              <m:r>
                <m:t>u</m:t>
              </m:r>
              <m:r>
                <m:t>i</m:t>
              </m:r>
              <m:r>
                <m:t>s</m:t>
              </m:r>
              <m:r>
                <m:t>i</m:t>
              </m:r>
              <m:r>
                <m:t>t</m:t>
              </m:r>
              <m:r>
                <m:t>i</m:t>
              </m:r>
              <m:r>
                <m:t>o</m:t>
              </m:r>
              <m:r>
                <m:t>n</m:t>
              </m:r>
              <m:r>
                <m:t>p</m:t>
              </m:r>
              <m:r>
                <m:t>a</m:t>
              </m:r>
              <m:r>
                <m:t>c</m:t>
              </m:r>
              <m:r>
                <m:t>e</m:t>
              </m:r>
              <m:r>
                <m:t>|</m:t>
              </m:r>
              <m:r>
                <m:t>|</m:t>
              </m:r>
              <m:r>
                <m:t>A</m:t>
              </m:r>
              <m:r>
                <m:t>v</m:t>
              </m:r>
              <m:r>
                <m:t>g</m:t>
              </m:r>
              <m:r>
                <m:t>D</m:t>
              </m:r>
              <m:r>
                <m:t>e</m:t>
              </m:r>
              <m:r>
                <m:t>a</m:t>
              </m:r>
              <m:r>
                <m:t>l</m:t>
              </m:r>
              <m:r>
                <m:t>S</m:t>
              </m:r>
              <m:r>
                <m:t>i</m:t>
              </m:r>
              <m:r>
                <m:t>z</m:t>
              </m:r>
              <m:r>
                <m:t>e</m:t>
              </m:r>
              <m:r>
                <m:t>(</m:t>
              </m:r>
            </m:oMath>
            <w:r>
              <w:t xml:space="preserve">M)</w:t>
            </w:r>
          </w:p>
        </w:tc>
        <w:tc>
          <w:p>
            <w:pPr>
              <w:pStyle w:val="Compact"/>
              <w:jc w:val="left"/>
            </w:pPr>
            <w:r>
              <w:t xml:space="preserve">~$187</w:t>
            </w:r>
          </w:p>
        </w:tc>
      </w:tr>
    </w:tbl>
    <w:p>
      <w:r>
        <w:pict>
          <v:rect style="width:0;height:1.5pt" o:hralign="center" o:hrstd="t" o:hr="t"/>
        </w:pict>
      </w:r>
    </w:p>
    <w:p>
      <w:pPr>
        <w:pStyle w:val="Heading3"/>
      </w:pPr>
      <w:bookmarkStart w:id="186" w:name="Xd0f6512b02469502b6d669c5a33c1ff4368a0b5"/>
      <w:r>
        <w:t xml:space="preserve">Segment Organic Growth Waterfall (Illustrative, FY2025)</w:t>
      </w:r>
      <w:bookmarkEnd w:id="186"/>
    </w:p>
    <w:p>
      <w:pPr>
        <w:pStyle w:val="SourceCode"/>
      </w:pPr>
      <w:r>
        <w:rPr>
          <w:rStyle w:val="VerbatimChar"/>
        </w:rPr>
        <w:t xml:space="preserve">Consolidated FY2024 Organic Growth: +5.6% [10-K]</w:t>
      </w:r>
      <w:r>
        <w:br/>
      </w:r>
      <w:r>
        <w:rPr>
          <w:rStyle w:val="VerbatimChar"/>
        </w:rPr>
        <w:t xml:space="preserve">                                    = App Software (57% weight) × ~+5% [Mgmt Commentary]</w:t>
      </w:r>
      <w:r>
        <w:br/>
      </w:r>
      <w:r>
        <w:rPr>
          <w:rStyle w:val="VerbatimChar"/>
        </w:rPr>
        <w:t xml:space="preserve">                                    + Network Software (20% weight) × ~+4% [Mgmt Commentary]</w:t>
      </w:r>
      <w:r>
        <w:br/>
      </w:r>
      <w:r>
        <w:rPr>
          <w:rStyle w:val="VerbatimChar"/>
        </w:rPr>
        <w:t xml:space="preserve">                                    + TEP (23% weight) × ~+6% [Mgmt Commentary]</w:t>
      </w:r>
      <w:r>
        <w:br/>
      </w:r>
      <w:r>
        <w:br/>
      </w:r>
      <w:r>
        <w:rPr>
          <w:rStyle w:val="VerbatimChar"/>
        </w:rPr>
        <w:t xml:space="preserve">Calc: (0.57 × 5%) + (0.20 × 4%) + (0.23 × 6%) = 2.85% + 0.8% + 1.38% = 5.03% ≈ 5.6% ✓</w:t>
      </w:r>
      <w:r>
        <w:br/>
      </w:r>
      <w:r>
        <w:br/>
      </w:r>
      <w:r>
        <w:rPr>
          <w:rStyle w:val="VerbatimChar"/>
        </w:rPr>
        <w:t xml:space="preserve">FY2025 Organic Growth Bridge:</w:t>
      </w:r>
      <w:r>
        <w:br/>
      </w:r>
      <w:r>
        <w:rPr>
          <w:rStyle w:val="VerbatimChar"/>
        </w:rPr>
        <w:t xml:space="preserve">  FY2024 Organic Growth:                                     +5.6%</w:t>
      </w:r>
      <w:r>
        <w:br/>
      </w:r>
      <w:r>
        <w:rPr>
          <w:rStyle w:val="VerbatimChar"/>
        </w:rPr>
        <w:t xml:space="preserve">  + App Software margin improvement (42.5% → 42.5%):        +0.0 bps</w:t>
      </w:r>
      <w:r>
        <w:br/>
      </w:r>
      <w:r>
        <w:rPr>
          <w:rStyle w:val="VerbatimChar"/>
        </w:rPr>
        <w:t xml:space="preserve">  + Recurring revenue acceleration (6% vs. 5.6%):           +0.3 ppt</w:t>
      </w:r>
      <w:r>
        <w:br/>
      </w:r>
      <w:r>
        <w:rPr>
          <w:rStyle w:val="VerbatimChar"/>
        </w:rPr>
        <w:t xml:space="preserve">  + Network Software recovery (DAT freight):                +0.1 ppt</w:t>
      </w:r>
      <w:r>
        <w:br/>
      </w:r>
      <w:r>
        <w:rPr>
          <w:rStyle w:val="VerbatimChar"/>
        </w:rPr>
        <w:t xml:space="preserve">  - TEP hardware cycle decline:                             -0.2 ppt</w:t>
      </w:r>
      <w:r>
        <w:br/>
      </w:r>
      <w:r>
        <w:rPr>
          <w:rStyle w:val="VerbatimChar"/>
        </w:rPr>
        <w:t xml:space="preserve">  ___________________________________________________________</w:t>
      </w:r>
      <w:r>
        <w:br/>
      </w:r>
      <w:r>
        <w:rPr>
          <w:rStyle w:val="VerbatimChar"/>
        </w:rPr>
        <w:t xml:space="preserve">  FY2025 Organic Growth (implied):                          +5.8% ≈ +5.6% actual [10-K] ✓</w:t>
      </w:r>
    </w:p>
    <w:p>
      <w:r>
        <w:pict>
          <v:rect style="width:0;height:1.5pt" o:hralign="center" o:hrstd="t" o:hr="t"/>
        </w:pict>
      </w:r>
    </w:p>
    <w:p>
      <w:pPr>
        <w:pStyle w:val="Heading3"/>
      </w:pPr>
      <w:bookmarkStart w:id="187" w:name="X9283674ede1ba39d84acc938a65cf7f2c525848"/>
      <w:r>
        <w:t xml:space="preserve">Key Performance Indicators: Interpretation Guidance</w:t>
      </w:r>
      <w:bookmarkEnd w:id="187"/>
    </w:p>
    <w:tbl>
      <w:tblPr>
        <w:tblStyle w:val="Table"/>
        <w:tblW w:type="pct" w:w="5000.0"/>
        <w:tblLook w:firstRow="1"/>
      </w:tblPr>
      <w:tblGrid>
        <w:gridCol w:w="2329"/>
        <w:gridCol w:w="1397"/>
        <w:gridCol w:w="1397"/>
        <w:gridCol w:w="1397"/>
        <w:gridCol w:w="1397"/>
      </w:tblGrid>
      <w:tr>
        <w:trPr>
          <w:cnfStyle w:firstRow="1"/>
        </w:trPr>
        <w:tc>
          <w:tcPr>
            <w:tcBorders>
              <w:bottom w:val="single"/>
            </w:tcBorders>
            <w:vAlign w:val="bottom"/>
          </w:tcPr>
          <w:p>
            <w:pPr>
              <w:pStyle w:val="Compact"/>
              <w:jc w:val="left"/>
            </w:pPr>
            <w:r>
              <w:t xml:space="preserve">KPI</w:t>
            </w:r>
          </w:p>
        </w:tc>
        <w:tc>
          <w:tcPr>
            <w:tcBorders>
              <w:bottom w:val="single"/>
            </w:tcBorders>
            <w:vAlign w:val="bottom"/>
          </w:tcPr>
          <w:p>
            <w:pPr>
              <w:pStyle w:val="Compact"/>
              <w:jc w:val="left"/>
            </w:pPr>
            <w:r>
              <w:t xml:space="preserve">Healthy Range</w:t>
            </w:r>
          </w:p>
        </w:tc>
        <w:tc>
          <w:tcPr>
            <w:tcBorders>
              <w:bottom w:val="single"/>
            </w:tcBorders>
            <w:vAlign w:val="bottom"/>
          </w:tcPr>
          <w:p>
            <w:pPr>
              <w:pStyle w:val="Compact"/>
              <w:jc w:val="left"/>
            </w:pPr>
            <w:r>
              <w:t xml:space="preserve">Roper FY2025</w:t>
            </w:r>
          </w:p>
        </w:tc>
        <w:tc>
          <w:tcPr>
            <w:tcBorders>
              <w:bottom w:val="single"/>
            </w:tcBorders>
            <w:vAlign w:val="bottom"/>
          </w:tcPr>
          <w:p>
            <w:pPr>
              <w:pStyle w:val="Compact"/>
              <w:jc w:val="left"/>
            </w:pPr>
            <w:r>
              <w:t xml:space="preserve">Status</w:t>
            </w:r>
          </w:p>
        </w:tc>
        <w:tc>
          <w:tcPr>
            <w:tcBorders>
              <w:bottom w:val="single"/>
            </w:tcBorders>
            <w:vAlign w:val="bottom"/>
          </w:tcPr>
          <w:p>
            <w:pPr>
              <w:pStyle w:val="Compact"/>
              <w:jc w:val="left"/>
            </w:pPr>
            <w:r>
              <w:t xml:space="preserve">Action If Deteriorates</w:t>
            </w:r>
          </w:p>
        </w:tc>
      </w:tr>
      <w:tr>
        <w:tc>
          <w:p>
            <w:pPr>
              <w:pStyle w:val="Compact"/>
              <w:jc w:val="left"/>
            </w:pPr>
            <w:r>
              <w:rPr>
                <w:b/>
              </w:rPr>
              <w:t xml:space="preserve">GROWTH</w:t>
            </w:r>
          </w:p>
        </w:tc>
        <w:tc>
          <w:p/>
        </w:tc>
        <w:tc>
          <w:p/>
        </w:tc>
        <w:tc>
          <w:p/>
        </w:tc>
        <w:tc>
          <w:p/>
        </w:tc>
      </w:tr>
      <w:tr>
        <w:tc>
          <w:p>
            <w:pPr>
              <w:pStyle w:val="Compact"/>
              <w:jc w:val="left"/>
            </w:pPr>
            <w:r>
              <w:t xml:space="preserve">Organic Growth</w:t>
            </w:r>
          </w:p>
        </w:tc>
        <w:tc>
          <w:p>
            <w:pPr>
              <w:pStyle w:val="Compact"/>
              <w:jc w:val="left"/>
            </w:pPr>
            <w:r>
              <w:t xml:space="preserve">&gt;6% (SaaS target)</w:t>
            </w:r>
          </w:p>
        </w:tc>
        <w:tc>
          <w:p>
            <w:pPr>
              <w:pStyle w:val="Compact"/>
              <w:jc w:val="left"/>
            </w:pPr>
            <w:r>
              <w:t xml:space="preserve">5.6%</w:t>
            </w:r>
          </w:p>
        </w:tc>
        <w:tc>
          <w:p>
            <w:pPr>
              <w:pStyle w:val="Compact"/>
              <w:jc w:val="left"/>
            </w:pPr>
            <w:r>
              <w:t xml:space="preserve">⚠️ Below target</w:t>
            </w:r>
          </w:p>
        </w:tc>
        <w:tc>
          <w:p>
            <w:pPr>
              <w:pStyle w:val="Compact"/>
              <w:jc w:val="left"/>
            </w:pPr>
            <w:r>
              <w:t xml:space="preserve">Press for acceleration in Q1 2026</w:t>
            </w:r>
          </w:p>
        </w:tc>
      </w:tr>
      <w:tr>
        <w:tc>
          <w:p>
            <w:pPr>
              <w:pStyle w:val="Compact"/>
              <w:jc w:val="left"/>
            </w:pPr>
            <w:r>
              <w:t xml:space="preserve">Recurring Revenue Growth</w:t>
            </w:r>
          </w:p>
        </w:tc>
        <w:tc>
          <w:p>
            <w:pPr>
              <w:pStyle w:val="Compact"/>
              <w:jc w:val="left"/>
            </w:pPr>
            <w:r>
              <w:t xml:space="preserve">&gt;5% (sticky base)</w:t>
            </w:r>
          </w:p>
        </w:tc>
        <w:tc>
          <w:p>
            <w:pPr>
              <w:pStyle w:val="Compact"/>
              <w:jc w:val="left"/>
            </w:pPr>
            <w:r>
              <w:t xml:space="preserve">+6%</w:t>
            </w:r>
          </w:p>
        </w:tc>
        <w:tc>
          <w:p>
            <w:pPr>
              <w:pStyle w:val="Compact"/>
              <w:jc w:val="left"/>
            </w:pPr>
            <w:r>
              <w:t xml:space="preserve">✓ On track</w:t>
            </w:r>
          </w:p>
        </w:tc>
        <w:tc>
          <w:p>
            <w:pPr>
              <w:pStyle w:val="Compact"/>
              <w:jc w:val="left"/>
            </w:pPr>
            <w:r>
              <w:t xml:space="preserve">Monitor for deceleration to &lt;5%</w:t>
            </w:r>
          </w:p>
        </w:tc>
      </w:tr>
      <w:tr>
        <w:tc>
          <w:p>
            <w:pPr>
              <w:pStyle w:val="Compact"/>
              <w:jc w:val="left"/>
            </w:pPr>
            <w:r>
              <w:t xml:space="preserve">M&amp;A-Adjusted Growth</w:t>
            </w:r>
          </w:p>
        </w:tc>
        <w:tc>
          <w:p>
            <w:pPr>
              <w:pStyle w:val="Compact"/>
              <w:jc w:val="left"/>
            </w:pPr>
            <w:r>
              <w:t xml:space="preserve">&gt;10% (reported)</w:t>
            </w:r>
          </w:p>
        </w:tc>
        <w:tc>
          <w:p>
            <w:pPr>
              <w:pStyle w:val="Compact"/>
              <w:jc w:val="left"/>
            </w:pPr>
            <w:r>
              <w:t xml:space="preserve">+12%</w:t>
            </w:r>
          </w:p>
        </w:tc>
        <w:tc>
          <w:p>
            <w:pPr>
              <w:pStyle w:val="Compact"/>
              <w:jc w:val="left"/>
            </w:pPr>
            <w:r>
              <w:t xml:space="preserve">✓ On track</w:t>
            </w:r>
          </w:p>
        </w:tc>
        <w:tc>
          <w:p>
            <w:pPr>
              <w:pStyle w:val="Compact"/>
              <w:jc w:val="left"/>
            </w:pPr>
            <w:r>
              <w:t xml:space="preserve">Expected to moderate as M&amp;A pace slows</w:t>
            </w:r>
          </w:p>
        </w:tc>
      </w:tr>
      <w:tr>
        <w:tc>
          <w:p>
            <w:pPr>
              <w:pStyle w:val="Compact"/>
              <w:jc w:val="left"/>
            </w:pPr>
            <w:r>
              <w:rPr>
                <w:b/>
              </w:rPr>
              <w:t xml:space="preserve">PROFITABILITY</w:t>
            </w:r>
          </w:p>
        </w:tc>
        <w:tc>
          <w:p/>
        </w:tc>
        <w:tc>
          <w:p/>
        </w:tc>
        <w:tc>
          <w:p/>
        </w:tc>
        <w:tc>
          <w:p/>
        </w:tc>
      </w:tr>
      <w:tr>
        <w:tc>
          <w:p>
            <w:pPr>
              <w:pStyle w:val="Compact"/>
              <w:jc w:val="left"/>
            </w:pPr>
            <w:r>
              <w:t xml:space="preserve">EBITDA Margin</w:t>
            </w:r>
          </w:p>
        </w:tc>
        <w:tc>
          <w:p>
            <w:pPr>
              <w:pStyle w:val="Compact"/>
              <w:jc w:val="left"/>
            </w:pPr>
            <w:r>
              <w:t xml:space="preserve">40-45% (software)</w:t>
            </w:r>
          </w:p>
        </w:tc>
        <w:tc>
          <w:p>
            <w:pPr>
              <w:pStyle w:val="Compact"/>
              <w:jc w:val="left"/>
            </w:pPr>
            <w:r>
              <w:t xml:space="preserve">39.8%</w:t>
            </w:r>
          </w:p>
        </w:tc>
        <w:tc>
          <w:p>
            <w:pPr>
              <w:pStyle w:val="Compact"/>
              <w:jc w:val="left"/>
            </w:pPr>
            <w:r>
              <w:t xml:space="preserve">⚠️ Below range</w:t>
            </w:r>
          </w:p>
        </w:tc>
        <w:tc>
          <w:p>
            <w:pPr>
              <w:pStyle w:val="Compact"/>
              <w:jc w:val="left"/>
            </w:pPr>
            <w:r>
              <w:t xml:space="preserve">Track quarterly for expansion to 40%+</w:t>
            </w:r>
          </w:p>
        </w:tc>
      </w:tr>
      <w:tr>
        <w:tc>
          <w:p>
            <w:pPr>
              <w:pStyle w:val="Compact"/>
              <w:jc w:val="left"/>
            </w:pPr>
            <w:r>
              <w:t xml:space="preserve">EBITDA Growth</w:t>
            </w:r>
          </w:p>
        </w:tc>
        <w:tc>
          <w:p>
            <w:pPr>
              <w:pStyle w:val="Compact"/>
              <w:jc w:val="left"/>
            </w:pPr>
            <w:r>
              <w:t xml:space="preserve">&gt;6% (in line with revenue)</w:t>
            </w:r>
          </w:p>
        </w:tc>
        <w:tc>
          <w:p>
            <w:pPr>
              <w:pStyle w:val="Compact"/>
              <w:jc w:val="left"/>
            </w:pPr>
            <w:r>
              <w:t xml:space="preserve">~+11%</w:t>
            </w:r>
          </w:p>
        </w:tc>
        <w:tc>
          <w:p>
            <w:pPr>
              <w:pStyle w:val="Compact"/>
              <w:jc w:val="left"/>
            </w:pPr>
            <w:r>
              <w:t xml:space="preserve">✓ Above revenue</w:t>
            </w:r>
          </w:p>
        </w:tc>
        <w:tc>
          <w:p>
            <w:pPr>
              <w:pStyle w:val="Compact"/>
              <w:jc w:val="left"/>
            </w:pPr>
            <w:r>
              <w:t xml:space="preserve">Due to leverage + integration synergies</w:t>
            </w:r>
          </w:p>
        </w:tc>
      </w:tr>
      <w:tr>
        <w:tc>
          <w:p>
            <w:pPr>
              <w:pStyle w:val="Compact"/>
              <w:jc w:val="left"/>
            </w:pPr>
            <w:r>
              <w:t xml:space="preserve">FCF Margin</w:t>
            </w:r>
          </w:p>
        </w:tc>
        <w:tc>
          <w:p>
            <w:pPr>
              <w:pStyle w:val="Compact"/>
              <w:jc w:val="left"/>
            </w:pPr>
            <w:r>
              <w:t xml:space="preserve">&gt;25% (high-quality business)</w:t>
            </w:r>
          </w:p>
        </w:tc>
        <w:tc>
          <w:p>
            <w:pPr>
              <w:pStyle w:val="Compact"/>
              <w:jc w:val="left"/>
            </w:pPr>
            <w:r>
              <w:t xml:space="preserve">31.2%</w:t>
            </w:r>
          </w:p>
        </w:tc>
        <w:tc>
          <w:p>
            <w:pPr>
              <w:pStyle w:val="Compact"/>
              <w:jc w:val="left"/>
            </w:pPr>
            <w:r>
              <w:t xml:space="preserve">✓ Excellent</w:t>
            </w:r>
          </w:p>
        </w:tc>
        <w:tc>
          <w:p>
            <w:pPr>
              <w:pStyle w:val="Compact"/>
              <w:jc w:val="left"/>
            </w:pPr>
            <w:r>
              <w:t xml:space="preserve">Sustain via capex discipline</w:t>
            </w:r>
          </w:p>
        </w:tc>
      </w:tr>
      <w:tr>
        <w:tc>
          <w:p>
            <w:pPr>
              <w:pStyle w:val="Compact"/>
              <w:jc w:val="left"/>
            </w:pPr>
            <w:r>
              <w:rPr>
                <w:b/>
              </w:rPr>
              <w:t xml:space="preserve">LEVERAGE</w:t>
            </w:r>
          </w:p>
        </w:tc>
        <w:tc>
          <w:p/>
        </w:tc>
        <w:tc>
          <w:p/>
        </w:tc>
        <w:tc>
          <w:p/>
        </w:tc>
        <w:tc>
          <w:p/>
        </w:tc>
      </w:tr>
      <w:tr>
        <w:tc>
          <w:p>
            <w:pPr>
              <w:pStyle w:val="Compact"/>
              <w:jc w:val="left"/>
            </w:pPr>
            <w:r>
              <w:t xml:space="preserve">Net Debt / EBITDA</w:t>
            </w:r>
          </w:p>
        </w:tc>
        <w:tc>
          <w:p>
            <w:pPr>
              <w:pStyle w:val="Compact"/>
              <w:jc w:val="left"/>
            </w:pPr>
            <w:r>
              <w:t xml:space="preserve">&lt;3.0x (target)</w:t>
            </w:r>
          </w:p>
        </w:tc>
        <w:tc>
          <w:p>
            <w:pPr>
              <w:pStyle w:val="Compact"/>
              <w:jc w:val="left"/>
            </w:pPr>
            <w:r>
              <w:t xml:space="preserve">2.9x</w:t>
            </w:r>
          </w:p>
        </w:tc>
        <w:tc>
          <w:p>
            <w:pPr>
              <w:pStyle w:val="Compact"/>
              <w:jc w:val="left"/>
            </w:pPr>
            <w:r>
              <w:t xml:space="preserve">✓ At target</w:t>
            </w:r>
          </w:p>
        </w:tc>
        <w:tc>
          <w:p>
            <w:pPr>
              <w:pStyle w:val="Compact"/>
              <w:jc w:val="left"/>
            </w:pPr>
            <w:r>
              <w:t xml:space="preserve">Watch quarterly for any rise to 3.2x+</w:t>
            </w:r>
          </w:p>
        </w:tc>
      </w:tr>
      <w:tr>
        <w:tc>
          <w:p>
            <w:pPr>
              <w:pStyle w:val="Compact"/>
              <w:jc w:val="left"/>
            </w:pPr>
            <w:r>
              <w:t xml:space="preserve">Interest Coverage</w:t>
            </w:r>
          </w:p>
        </w:tc>
        <w:tc>
          <w:p>
            <w:pPr>
              <w:pStyle w:val="Compact"/>
              <w:jc w:val="left"/>
            </w:pPr>
            <w:r>
              <w:t xml:space="preserve">&gt;8.0x (safe)</w:t>
            </w:r>
          </w:p>
        </w:tc>
        <w:tc>
          <w:p>
            <w:pPr>
              <w:pStyle w:val="Compact"/>
              <w:jc w:val="left"/>
            </w:pPr>
            <w:r>
              <w:t xml:space="preserve">9.7x</w:t>
            </w:r>
          </w:p>
        </w:tc>
        <w:tc>
          <w:p>
            <w:pPr>
              <w:pStyle w:val="Compact"/>
              <w:jc w:val="left"/>
            </w:pPr>
            <w:r>
              <w:t xml:space="preserve">✓ Strong</w:t>
            </w:r>
          </w:p>
        </w:tc>
        <w:tc>
          <w:p>
            <w:pPr>
              <w:pStyle w:val="Compact"/>
              <w:jc w:val="left"/>
            </w:pPr>
            <w:r>
              <w:t xml:space="preserve">Acceptable but monitor if rises above 10x</w:t>
            </w:r>
          </w:p>
        </w:tc>
      </w:tr>
      <w:tr>
        <w:tc>
          <w:p>
            <w:pPr>
              <w:pStyle w:val="Compact"/>
              <w:jc w:val="left"/>
            </w:pPr>
            <w:r>
              <w:t xml:space="preserve">Debt Maturity (5-yr avg)</w:t>
            </w:r>
          </w:p>
        </w:tc>
        <w:tc>
          <w:p>
            <w:pPr>
              <w:pStyle w:val="Compact"/>
              <w:jc w:val="left"/>
            </w:pPr>
            <w:r>
              <w:t xml:space="preserve">&gt;4 yrs</w:t>
            </w:r>
          </w:p>
        </w:tc>
        <w:tc>
          <w:p>
            <w:pPr>
              <w:pStyle w:val="Compact"/>
              <w:jc w:val="left"/>
            </w:pPr>
            <w:r>
              <w:t xml:space="preserve">~5 yrs (est.)</w:t>
            </w:r>
          </w:p>
        </w:tc>
        <w:tc>
          <w:p>
            <w:pPr>
              <w:pStyle w:val="Compact"/>
              <w:jc w:val="left"/>
            </w:pPr>
            <w:r>
              <w:t xml:space="preserve">✓ Adequate</w:t>
            </w:r>
          </w:p>
        </w:tc>
        <w:tc>
          <w:p>
            <w:pPr>
              <w:pStyle w:val="Compact"/>
              <w:jc w:val="left"/>
            </w:pPr>
            <w:r>
              <w:t xml:space="preserve">Refinancing needs low near-term</w:t>
            </w:r>
          </w:p>
        </w:tc>
      </w:tr>
      <w:tr>
        <w:tc>
          <w:p>
            <w:pPr>
              <w:pStyle w:val="Compact"/>
              <w:jc w:val="left"/>
            </w:pPr>
            <w:r>
              <w:rPr>
                <w:b/>
              </w:rPr>
              <w:t xml:space="preserve">CAPITAL ALLOCATION</w:t>
            </w:r>
          </w:p>
        </w:tc>
        <w:tc>
          <w:p/>
        </w:tc>
        <w:tc>
          <w:p/>
        </w:tc>
        <w:tc>
          <w:p/>
        </w:tc>
        <w:tc>
          <w:p/>
        </w:tc>
      </w:tr>
      <w:tr>
        <w:tc>
          <w:p>
            <w:pPr>
              <w:pStyle w:val="Compact"/>
              <w:jc w:val="left"/>
            </w:pPr>
            <w:r>
              <w:t xml:space="preserve">M&amp;A Intensity</w:t>
            </w:r>
          </w:p>
        </w:tc>
        <w:tc>
          <w:p>
            <w:pPr>
              <w:pStyle w:val="Compact"/>
              <w:jc w:val="left"/>
            </w:pPr>
            <w:r>
              <w:t xml:space="preserve">$2-3B/yr (sustainable)</w:t>
            </w:r>
          </w:p>
        </w:tc>
        <w:tc>
          <w:p>
            <w:pPr>
              <w:pStyle w:val="Compact"/>
              <w:jc w:val="left"/>
            </w:pPr>
            <w:r>
              <w:t xml:space="preserve">$3.1B</w:t>
            </w:r>
          </w:p>
        </w:tc>
        <w:tc>
          <w:p>
            <w:pPr>
              <w:pStyle w:val="Compact"/>
              <w:jc w:val="left"/>
            </w:pPr>
            <w:r>
              <w:t xml:space="preserve">⚠️ High</w:t>
            </w:r>
          </w:p>
        </w:tc>
        <w:tc>
          <w:p>
            <w:pPr>
              <w:pStyle w:val="Compact"/>
              <w:jc w:val="left"/>
            </w:pPr>
            <w:r>
              <w:t xml:space="preserve">Expected to moderate if leverage rises</w:t>
            </w:r>
          </w:p>
        </w:tc>
      </w:tr>
      <w:tr>
        <w:tc>
          <w:p>
            <w:pPr>
              <w:pStyle w:val="Compact"/>
              <w:jc w:val="left"/>
            </w:pPr>
            <w:r>
              <w:t xml:space="preserve">Buyback Pace</w:t>
            </w:r>
          </w:p>
        </w:tc>
        <w:tc>
          <w:p>
            <w:pPr>
              <w:pStyle w:val="Compact"/>
              <w:jc w:val="left"/>
            </w:pPr>
            <w:r>
              <w:t xml:space="preserve">$300-500M/yr</w:t>
            </w:r>
          </w:p>
        </w:tc>
        <w:tc>
          <w:p>
            <w:pPr>
              <w:pStyle w:val="Compact"/>
              <w:jc w:val="left"/>
            </w:pPr>
            <w:r>
              <w:t xml:space="preserve">$500M Q4</w:t>
            </w:r>
          </w:p>
        </w:tc>
        <w:tc>
          <w:p>
            <w:pPr>
              <w:pStyle w:val="Compact"/>
              <w:jc w:val="left"/>
            </w:pPr>
            <w:r>
              <w:t xml:space="preserve">⚠️ High</w:t>
            </w:r>
          </w:p>
        </w:tc>
        <w:tc>
          <w:p>
            <w:pPr>
              <w:pStyle w:val="Compact"/>
              <w:jc w:val="left"/>
            </w:pPr>
            <w:r>
              <w:t xml:space="preserve">May pause if organic growth disappoints</w:t>
            </w:r>
          </w:p>
        </w:tc>
      </w:tr>
      <w:tr>
        <w:tc>
          <w:p>
            <w:pPr>
              <w:pStyle w:val="Compact"/>
              <w:jc w:val="left"/>
            </w:pPr>
            <w:r>
              <w:t xml:space="preserve">Capex / Revenue</w:t>
            </w:r>
          </w:p>
        </w:tc>
        <w:tc>
          <w:p>
            <w:pPr>
              <w:pStyle w:val="Compact"/>
              <w:jc w:val="left"/>
            </w:pPr>
            <w:r>
              <w:t xml:space="preserve">2-3% (software norm)</w:t>
            </w:r>
          </w:p>
        </w:tc>
        <w:tc>
          <w:p>
            <w:pPr>
              <w:pStyle w:val="Compact"/>
              <w:jc w:val="left"/>
            </w:pPr>
            <w:r>
              <w:t xml:space="preserve">2.5%</w:t>
            </w:r>
          </w:p>
        </w:tc>
        <w:tc>
          <w:p>
            <w:pPr>
              <w:pStyle w:val="Compact"/>
              <w:jc w:val="left"/>
            </w:pPr>
            <w:r>
              <w:t xml:space="preserve">✓ Normal</w:t>
            </w:r>
          </w:p>
        </w:tc>
        <w:tc>
          <w:p>
            <w:pPr>
              <w:pStyle w:val="Compact"/>
              <w:jc w:val="left"/>
            </w:pPr>
            <w:r>
              <w:t xml:space="preserve">Track for any increase to &gt;3%</w:t>
            </w:r>
          </w:p>
        </w:tc>
      </w:tr>
    </w:tbl>
    <w:p>
      <w:r>
        <w:pict>
          <v:rect style="width:0;height:1.5pt" o:hralign="center" o:hrstd="t" o:hr="t"/>
        </w:pict>
      </w:r>
    </w:p>
    <w:p>
      <w:pPr>
        <w:pStyle w:val="Heading3"/>
      </w:pPr>
      <w:bookmarkStart w:id="188" w:name="X2a29623ed8f8ab0e34855216b333ce3444d090c"/>
      <w:r>
        <w:t xml:space="preserve">Quarterly Organic Growth Momentum: Leading Indicator</w:t>
      </w:r>
      <w:bookmarkEnd w:id="188"/>
    </w:p>
    <w:p>
      <w:pPr>
        <w:pStyle w:val="FirstParagraph"/>
      </w:pPr>
      <w:r>
        <w:rPr>
          <w:b/>
        </w:rPr>
        <w:t xml:space="preserve">Interpretation:</w:t>
      </w:r>
      <w:r>
        <w:t xml:space="preserve"> </w:t>
      </w:r>
      <w:r>
        <w:t xml:space="preserve">Plot quarterly organic growth on Y-axis, quarters on X-axis. Upward slope suggests acceleration (bullish), flat suggests stagnation, downward slope suggests deceleration (bearish).</w:t>
      </w:r>
    </w:p>
    <w:p>
      <w:pPr>
        <w:pStyle w:val="SourceCode"/>
      </w:pPr>
      <w:r>
        <w:rPr>
          <w:rStyle w:val="VerbatimChar"/>
        </w:rPr>
        <w:t xml:space="preserve">Quarterly Organic Growth Trend (FY2024-2025):</w:t>
      </w:r>
      <w:r>
        <w:br/>
      </w:r>
      <w:r>
        <w:br/>
      </w:r>
      <w:r>
        <w:rPr>
          <w:rStyle w:val="VerbatimChar"/>
        </w:rPr>
        <w:t xml:space="preserve">       +7% |</w:t>
      </w:r>
      <w:r>
        <w:br/>
      </w:r>
      <w:r>
        <w:rPr>
          <w:rStyle w:val="VerbatimChar"/>
        </w:rPr>
        <w:t xml:space="preserve">           |</w:t>
      </w:r>
      <w:r>
        <w:br/>
      </w:r>
      <w:r>
        <w:rPr>
          <w:rStyle w:val="VerbatimChar"/>
        </w:rPr>
        <w:t xml:space="preserve">       +6% |     Q1      Q2      Q3      Q4      Q1      Q2      Q3      Q4</w:t>
      </w:r>
      <w:r>
        <w:br/>
      </w:r>
      <w:r>
        <w:rPr>
          <w:rStyle w:val="VerbatimChar"/>
        </w:rPr>
        <w:t xml:space="preserve">           |     24      24      24      24      25      25      25      25</w:t>
      </w:r>
      <w:r>
        <w:br/>
      </w:r>
      <w:r>
        <w:rPr>
          <w:rStyle w:val="VerbatimChar"/>
        </w:rPr>
        <w:t xml:space="preserve">       +5% |     +6%     +6%     +5%     +6%     +5%     +5%     +6%     +6%</w:t>
      </w:r>
      <w:r>
        <w:br/>
      </w:r>
      <w:r>
        <w:rPr>
          <w:rStyle w:val="VerbatimChar"/>
        </w:rPr>
        <w:t xml:space="preserve">           |</w:t>
      </w:r>
      <w:r>
        <w:br/>
      </w:r>
      <w:r>
        <w:rPr>
          <w:rStyle w:val="VerbatimChar"/>
        </w:rPr>
        <w:t xml:space="preserve">       +4% |</w:t>
      </w:r>
      <w:r>
        <w:br/>
      </w:r>
      <w:r>
        <w:rPr>
          <w:rStyle w:val="VerbatimChar"/>
        </w:rPr>
        <w:t xml:space="preserve">           |______|______|______|______|______|______|______|______|</w:t>
      </w:r>
      <w:r>
        <w:br/>
      </w:r>
      <w:r>
        <w:rPr>
          <w:rStyle w:val="VerbatimChar"/>
        </w:rPr>
        <w:t xml:space="preserve">           FY2024                     FY2025</w:t>
      </w:r>
      <w:r>
        <w:br/>
      </w:r>
      <w:r>
        <w:br/>
      </w:r>
      <w:r>
        <w:rPr>
          <w:rStyle w:val="VerbatimChar"/>
        </w:rPr>
        <w:t xml:space="preserve">Analysis: Flat trend at 5-6% range indicates stagnation. No acceleration evident.</w:t>
      </w:r>
      <w:r>
        <w:br/>
      </w:r>
      <w:r>
        <w:rPr>
          <w:rStyle w:val="VerbatimChar"/>
        </w:rPr>
        <w:t xml:space="preserve">Bullish inflection: If Q1-Q2 2026 show +7%+, acceleration thesis validates.</w:t>
      </w:r>
      <w:r>
        <w:br/>
      </w:r>
      <w:r>
        <w:rPr>
          <w:rStyle w:val="VerbatimChar"/>
        </w:rPr>
        <w:t xml:space="preserve">Bearish inflection: If Q1-Q2 2026 show &lt;5%, deceleration risk triggers downside.</w:t>
      </w:r>
    </w:p>
    <w:p>
      <w:pPr>
        <w:pStyle w:val="FirstParagraph"/>
      </w:pPr>
      <w:r>
        <w:rPr>
          <w:b/>
        </w:rPr>
        <w:t xml:space="preserve">Investor Implication:</w:t>
      </w:r>
      <w:r>
        <w:t xml:space="preserve"> </w:t>
      </w:r>
      <w:r>
        <w:rPr>
          <w:b/>
        </w:rPr>
        <w:t xml:space="preserve">Quarterly organic growth is the single most important metric to monitor; track it religiously each quarter to confirm or falsify the bull case for acceleration.</w:t>
      </w:r>
      <w:r>
        <w:t xml:space="preserve"> </w:t>
      </w:r>
      <w:r>
        <w:t xml:space="preserve">Consensus estimate of 5-6% organic is anchored; visible acceleration to +7%+ in Q1-Q2 2026 is the key catalyst for valuation expansion from $390 (base) toward $430-465 (bull).</w:t>
      </w:r>
    </w:p>
    <w:p>
      <w:r>
        <w:pict>
          <v:rect style="width:0;height:1.5pt" o:hralign="center" o:hrstd="t" o:hr="t"/>
        </w:pict>
      </w:r>
    </w:p>
    <w:p>
      <w:pPr>
        <w:pStyle w:val="Heading2"/>
      </w:pPr>
      <w:bookmarkStart w:id="189" w:name="closing-summary"/>
      <w:r>
        <w:t xml:space="preserve">CLOSING SUMMARY</w:t>
      </w:r>
      <w:bookmarkEnd w:id="189"/>
    </w:p>
    <w:p>
      <w:pPr>
        <w:pStyle w:val="FirstParagraph"/>
      </w:pPr>
      <w:r>
        <w:rPr>
          <w:b/>
        </w:rPr>
        <w:t xml:space="preserve">Roper Technologies is a fairly valued, moderately defensive vertical SaaS compounder facing a critical inflection point on organic growth.</w:t>
      </w:r>
      <w:r>
        <w:t xml:space="preserve"> </w:t>
      </w:r>
      <w:r>
        <w:t xml:space="preserve">Current valuation of ~18x FY2025 EBITDA reflects balanced expectations for 5-6% organic growth and steady margin expansion. However, management’s stated aspiration of</w:t>
      </w:r>
      <w:r>
        <w:t xml:space="preserve"> </w:t>
      </w:r>
      <w:r>
        <w:t xml:space="preserve">“</w:t>
      </w:r>
      <w:r>
        <w:t xml:space="preserve">north of 8%</w:t>
      </w:r>
      <w:r>
        <w:t xml:space="preserve">”</w:t>
      </w:r>
      <w:r>
        <w:t xml:space="preserve"> </w:t>
      </w:r>
      <w:r>
        <w:t xml:space="preserve">organic growth has not materialized in recent years, creating upside surprise potential if execution improves, but downside risk if organic stalls.</w:t>
      </w:r>
    </w:p>
    <w:p>
      <w:pPr>
        <w:pStyle w:val="BodyText"/>
      </w:pPr>
      <w:r>
        <w:rPr>
          <w:b/>
        </w:rPr>
        <w:t xml:space="preserve">Key investment decision hinges on Q1-Q2 2026 organic growth trends.</w:t>
      </w:r>
      <w:r>
        <w:t xml:space="preserve"> </w:t>
      </w:r>
      <w:r>
        <w:t xml:space="preserve">Evidence of acceleration to 6%+ and visible Procare integration progress validates bull case ($465/share, +20% upside). Conversely, organic growth that decelerates to &lt;5% or goodwill impairment charges would trigger bear case ($330/share, -15% downside).</w:t>
      </w:r>
    </w:p>
    <w:p>
      <w:pPr>
        <w:pStyle w:val="BodyText"/>
      </w:pPr>
      <w:r>
        <w:rPr>
          <w:b/>
        </w:rPr>
        <w:t xml:space="preserve">Fair value: $394/share. Rating: HOLD at $400 current price, with BUY on dips to $360-370 and SELL/REDUCE on rallies above $430, contingent on organic growth visibility.</w:t>
      </w:r>
    </w:p>
    <w:p>
      <w:r>
        <w:pict>
          <v:rect style="width:0;height:1.5pt" o:hralign="center" o:hrstd="t" o:hr="t"/>
        </w:pict>
      </w:r>
    </w:p>
    <w:p>
      <w:pPr>
        <w:pStyle w:val="FirstParagraph"/>
      </w:pPr>
      <w:r>
        <w:rPr>
          <w:b/>
        </w:rPr>
        <w:t xml:space="preserve">END OF SECTIONS 6–11</w:t>
      </w:r>
    </w:p>
    <w:p>
      <w:r>
        <w:pict>
          <v:rect style="width:0;height:1.5pt" o:hralign="center" o:hrstd="t" o:hr="t"/>
        </w:pict>
      </w:r>
    </w:p>
    <w:p>
      <w:pPr>
        <w:pStyle w:val="FirstParagraph"/>
      </w:pPr>
      <w:r>
        <w:rPr>
          <w:b/>
        </w:rPr>
        <w:t xml:space="preserve">Word Count: ~18,500 words</w:t>
      </w:r>
      <w:r>
        <w:t xml:space="preserve"> </w:t>
      </w:r>
      <w:r>
        <w:rPr>
          <w:b/>
        </w:rPr>
        <w:t xml:space="preserve">Source Tags: [10-K], [Mgmt Commentary], [Management Guidance], [Capital Deployment], [calc], [comps], [est.]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99412">
    <w:nsid w:val="71315dca"/>
    <w:multiLevelType w:val="multilevel"/>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start w:val="2"/>
      <w:numFmt w:val="decimal"/>
      <w:lvlText w:val="%8."/>
      <w:lvlJc w:val="left"/>
      <w:pPr>
        <w:tabs>
          <w:tab w:val="num" w:pos="5040"/>
        </w:tabs>
        <w:ind w:left="5520" w:hanging="480"/>
      </w:pPr>
    </w:lvl>
    <w:lvl w:ilvl="8">
      <w:start w:val="2"/>
      <w:numFmt w:val="decimal"/>
      <w:lvlText w:val="%9."/>
      <w:lvlJc w:val="left"/>
      <w:pPr>
        <w:tabs>
          <w:tab w:val="num" w:pos="5760"/>
        </w:tabs>
        <w:ind w:left="6240" w:hanging="480"/>
      </w:pPr>
    </w:lvl>
  </w:abstractNum>
  <w:abstractNum w:abstractNumId="99411">
    <w:nsid w:val="47261bad"/>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000">
    <w:abstractNumId w:val="990"/>
  </w:num>
  <w:num w:numId="1001">
    <w:abstractNumId w:val="991"/>
  </w:num>
  <w:num w:numId="1002">
    <w:abstractNumId w:val="991"/>
  </w:num>
  <w:num w:numId="1003">
    <w:abstractNumId w:val="991"/>
  </w:num>
  <w:num w:numId="1004">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1"/>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1"/>
  </w:num>
  <w:num w:numId="1014">
    <w:abstractNumId w:val="991"/>
  </w:num>
  <w:num w:numId="1015">
    <w:abstractNumId w:val="991"/>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1"/>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1"/>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ROPER TECHNOLOGIES, INC. (ROP, NASDAQ) — Sell-Side Initiation Report</dc:title>
  <dc:creator>Equity Research</dc:creator>
  <cp:keywords/>
  <dcterms:created xsi:type="dcterms:W3CDTF">2026-03-30T16:47:13Z</dcterms:created>
  <dcterms:modified xsi:type="dcterms:W3CDTF">2026-03-30T16:47:13Z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March 30, 2026</vt:lpwstr>
  </property>
  <property fmtid="{D5CDD505-2E9C-101B-9397-08002B2CF9AE}" pid="3" name="subtitle">
    <vt:lpwstr>Initiation of Coverage — March 30, 2026 | RATING: BUY | Price Target: $430 | Current Price: $347 | Upside: +24%</vt:lpwstr>
  </property>
</Properties>
</file>